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lang w:eastAsia="zh-CN"/>
        </w:rPr>
      </w:pPr>
      <w:r>
        <w:rPr>
          <w:rFonts w:hint="eastAsia" w:ascii="方正大标宋简体" w:hAnsi="方正大标宋简体" w:eastAsia="方正大标宋简体" w:cs="方正大标宋简体"/>
          <w:b w:val="0"/>
          <w:bCs w:val="0"/>
          <w:color w:val="000000"/>
          <w:kern w:val="0"/>
          <w:sz w:val="44"/>
          <w:szCs w:val="44"/>
          <w:lang w:eastAsia="zh-CN"/>
        </w:rPr>
        <w:t>景德镇陶瓷产业创新发展中心2023年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rPr>
        <w:t>部门预算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2"/>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2"/>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景德镇陶瓷产业创新发展中心</w:t>
      </w:r>
      <w:r>
        <w:rPr>
          <w:rFonts w:hint="eastAsia" w:ascii="黑体" w:hAnsi="黑体" w:eastAsia="黑体" w:cs="黑体"/>
          <w:b/>
          <w:bCs/>
          <w:color w:val="000000"/>
          <w:sz w:val="32"/>
          <w:szCs w:val="32"/>
        </w:rPr>
        <w:t>概况</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一、部门主要职责</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2"/>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景德镇陶瓷产业创新发展中心</w:t>
      </w:r>
      <w:r>
        <w:rPr>
          <w:rFonts w:hint="eastAsia" w:ascii="黑体" w:hAnsi="黑体" w:eastAsia="黑体" w:cs="黑体"/>
          <w:b/>
          <w:bCs/>
          <w:color w:val="000000"/>
          <w:sz w:val="32"/>
          <w:szCs w:val="32"/>
          <w:lang w:eastAsia="zh-CN"/>
        </w:rPr>
        <w:t>2023年</w:t>
      </w:r>
      <w:r>
        <w:rPr>
          <w:rFonts w:hint="eastAsia" w:ascii="黑体" w:hAnsi="黑体" w:eastAsia="黑体" w:cs="黑体"/>
          <w:b/>
          <w:bCs/>
          <w:color w:val="000000"/>
          <w:sz w:val="32"/>
          <w:szCs w:val="32"/>
        </w:rPr>
        <w:t>部门预算表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十一、《项目绩效目标表》</w:t>
      </w:r>
    </w:p>
    <w:p>
      <w:pPr>
        <w:pStyle w:val="12"/>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eastAsia="zh-CN"/>
        </w:rPr>
        <w:t>景德镇陶瓷产业创新发展中心2023年</w:t>
      </w:r>
      <w:r>
        <w:rPr>
          <w:rFonts w:hint="eastAsia" w:ascii="黑体" w:hAnsi="黑体" w:eastAsia="黑体" w:cs="黑体"/>
          <w:b/>
          <w:bCs/>
          <w:color w:val="000000"/>
          <w:sz w:val="32"/>
          <w:szCs w:val="32"/>
        </w:rPr>
        <w:t>部门预算情况说明</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2023年</w:t>
      </w:r>
      <w:r>
        <w:rPr>
          <w:rFonts w:hint="eastAsia" w:ascii="仿宋_GB2312" w:hAnsi="仿宋_GB2312" w:eastAsia="仿宋_GB2312" w:cs="仿宋_GB2312"/>
          <w:kern w:val="2"/>
          <w:sz w:val="32"/>
          <w:szCs w:val="30"/>
        </w:rPr>
        <w:t>部门预算收支情况说明</w:t>
      </w:r>
    </w:p>
    <w:p>
      <w:pPr>
        <w:pStyle w:val="12"/>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2023年</w:t>
      </w:r>
      <w:r>
        <w:rPr>
          <w:rFonts w:hint="eastAsia" w:ascii="仿宋_GB2312" w:hAnsi="仿宋_GB2312" w:eastAsia="仿宋_GB2312" w:cs="仿宋_GB2312"/>
          <w:kern w:val="2"/>
          <w:sz w:val="32"/>
          <w:szCs w:val="30"/>
        </w:rPr>
        <w:t>“三公”经费预算情况说明</w:t>
      </w:r>
    </w:p>
    <w:p>
      <w:pPr>
        <w:pStyle w:val="12"/>
        <w:keepNext w:val="0"/>
        <w:keepLines w:val="0"/>
        <w:pageBreakBefore w:val="0"/>
        <w:widowControl/>
        <w:numPr>
          <w:ilvl w:val="0"/>
          <w:numId w:val="1"/>
        </w:numPr>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 xml:space="preserve"> 名词解释</w:t>
      </w: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pStyle w:val="12"/>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eastAsia="zh-CN"/>
        </w:rPr>
        <w:t>景德镇陶瓷产业创新发展中心</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景德镇陶瓷产业创新发展中心为市人民政府(国家试验区管委会)直属公益一类事业单位，正处级。主要职责是：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(一)贯彻执行国家和省、市关于建设景德镇国家陶瓷文化传承创新试验区发展战略、产业政策和相关法规；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(二)为培育陶瓷龙头企业、优化陶瓷产业布局、推动产业集聚提供服务；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(三)为推进陶瓷创意文化产业发展、文创产业研发和创意设计提供服务；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(四)为构建科技创新发展平台、生态产业体系提供服务；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(五)为助力陶瓷产业创新发展的相关企业、组织机构等提供服务；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0"/>
        </w:rPr>
      </w:pPr>
      <w:r>
        <w:rPr>
          <w:rFonts w:hint="eastAsia" w:ascii="仿宋_GB2312" w:hAnsi="仿宋_GB2312" w:eastAsia="仿宋_GB2312" w:cs="仿宋_GB2312"/>
          <w:kern w:val="2"/>
          <w:sz w:val="32"/>
          <w:szCs w:val="30"/>
          <w:lang w:val="en-US" w:eastAsia="zh-CN" w:bidi="ar-SA"/>
        </w:rPr>
        <w:t>(六)完成市委、市政府(国家试验区管委会)交办的其他工作。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2023年景德镇陶瓷产业创新发展中心共有预算单位3个，包括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景德镇陶瓷产业创新发展中心部门</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本级</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${page400644146.ds204012617_BMQKZDY_DIVNUMQK}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和2个二级预算单位</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，二级预算单位具体包括：景德镇市工业国有资产经营公司社会事务管理中心和江西省陶瓷工业公司社会事务管理中心。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编制人数共计83人，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行政编制人数0人、参照公务员管理的事业编制人数0人、全部补助事业编制人数83人、部分补助事业编制人数0人。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实有人数共计439人，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在职人数小计69人，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行政在职人数0人、参照公务员管理的事业人员在职人数11人、全部补助事业人员在职人数55人，部分补助事业人员在职人数3人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离休人数小计0人，退休人数小计370人，遗属人数0人。</w:t>
      </w:r>
      <w:r>
        <w:rPr>
          <w:rFonts w:hint="eastAsia" w:ascii="仿宋_GB2312" w:hAnsi="仿宋_GB2312" w:eastAsia="仿宋_GB2312" w:cs="仿宋_GB2312"/>
          <w:kern w:val="2"/>
          <w:sz w:val="32"/>
          <w:szCs w:val="30"/>
          <w:lang w:val="en-US" w:eastAsia="zh-CN" w:bidi="ar-SA"/>
        </w:rPr>
        <w:fldChar w:fldCharType="end"/>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景德镇陶瓷产业创新发展中心2023年</w:t>
      </w:r>
      <w:r>
        <w:rPr>
          <w:rFonts w:hint="eastAsia" w:ascii="方正小标宋简体" w:hAnsi="方正小标宋简体" w:eastAsia="方正小标宋简体" w:cs="方正小标宋简体"/>
          <w:b/>
          <w:sz w:val="32"/>
          <w:szCs w:val="30"/>
        </w:rPr>
        <w:t>部门预算表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景德镇陶瓷产业创新发展中心2023年</w:t>
      </w:r>
      <w:r>
        <w:rPr>
          <w:rFonts w:hint="eastAsia" w:ascii="方正小标宋简体" w:hAnsi="方正小标宋简体" w:eastAsia="方正小标宋简体" w:cs="方正小标宋简体"/>
          <w:b/>
          <w:sz w:val="32"/>
          <w:szCs w:val="30"/>
        </w:rPr>
        <w:t>部门预算情况说明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eastAsia="zh-CN"/>
        </w:rPr>
        <w:t>2023年</w:t>
      </w:r>
      <w:r>
        <w:rPr>
          <w:rFonts w:hint="eastAsia" w:ascii="黑体" w:hAnsi="黑体" w:eastAsia="黑体" w:cs="黑体"/>
          <w:b/>
          <w:sz w:val="32"/>
          <w:szCs w:val="32"/>
        </w:rPr>
        <w:t>部门预算收支情况说明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ascii="Adobe 仿宋 Std R" w:hAnsi="Adobe 仿宋 Std R" w:eastAsia="Adobe 仿宋 Std R"/>
          <w:b/>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一</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Times New Roman"/>
          <w:kern w:val="0"/>
          <w:sz w:val="32"/>
        </w:rPr>
      </w:pPr>
      <w:r>
        <w:rPr>
          <w:rFonts w:hint="eastAsia" w:ascii="仿宋_GB2312" w:hAnsi="仿宋_GB2312" w:eastAsia="仿宋_GB2312" w:cs="仿宋_GB2312"/>
          <w:kern w:val="2"/>
          <w:sz w:val="32"/>
          <w:szCs w:val="30"/>
          <w:lang w:val="en-US" w:eastAsia="zh-CN" w:bidi="ar-SA"/>
        </w:rPr>
        <w:t>2023年景德镇陶瓷产业创新发展中心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收入预算总额为</w:t>
      </w:r>
      <w:r>
        <w:rPr>
          <w:rFonts w:hint="eastAsia" w:ascii="仿宋_GB2312" w:hAnsi="宋体" w:eastAsia="仿宋_GB2312" w:cs="仿宋_GB2312"/>
          <w:sz w:val="32"/>
          <w:szCs w:val="32"/>
        </w:rPr>
        <w:t>37</w:t>
      </w:r>
      <w:r>
        <w:rPr>
          <w:rFonts w:hint="eastAsia" w:ascii="仿宋_GB2312" w:hAnsi="宋体" w:eastAsia="仿宋_GB2312" w:cs="仿宋_GB2312"/>
          <w:sz w:val="32"/>
          <w:szCs w:val="32"/>
          <w:lang w:val="en-US" w:eastAsia="zh-CN"/>
        </w:rPr>
        <w:t>92</w:t>
      </w:r>
      <w:r>
        <w:rPr>
          <w:rFonts w:hint="eastAsia" w:ascii="仿宋_GB2312" w:hAnsi="宋体" w:eastAsia="仿宋_GB2312" w:cs="仿宋_GB2312"/>
          <w:sz w:val="32"/>
          <w:szCs w:val="32"/>
        </w:rPr>
        <w:t>.15</w:t>
      </w:r>
      <w:r>
        <w:rPr>
          <w:rFonts w:hint="eastAsia" w:ascii="仿宋_GB2312" w:hAnsi="仿宋_GB2312" w:eastAsia="仿宋_GB2312" w:cs="仿宋_GB2312"/>
          <w:kern w:val="2"/>
          <w:sz w:val="32"/>
          <w:szCs w:val="30"/>
          <w:lang w:val="en-US" w:eastAsia="zh-CN" w:bidi="ar-SA"/>
        </w:rPr>
        <w:t>万元，较上年预算安排增加2,634.35万元；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${page400644146.ds509943833_V_BGT_DEP_INCOME_DXQ01_SRXMMX}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财政拨款收入</w:t>
      </w:r>
      <w:r>
        <w:rPr>
          <w:rFonts w:hint="eastAsia" w:ascii="仿宋_GB2312" w:hAnsi="宋体" w:eastAsia="仿宋_GB2312" w:cs="仿宋_GB2312"/>
          <w:sz w:val="32"/>
          <w:szCs w:val="32"/>
        </w:rPr>
        <w:t>37</w:t>
      </w:r>
      <w:r>
        <w:rPr>
          <w:rFonts w:hint="eastAsia" w:ascii="仿宋_GB2312" w:hAnsi="宋体" w:eastAsia="仿宋_GB2312" w:cs="仿宋_GB2312"/>
          <w:sz w:val="32"/>
          <w:szCs w:val="32"/>
          <w:lang w:val="en-US" w:eastAsia="zh-CN"/>
        </w:rPr>
        <w:t>92</w:t>
      </w:r>
      <w:r>
        <w:rPr>
          <w:rFonts w:hint="eastAsia" w:ascii="仿宋_GB2312" w:hAnsi="宋体" w:eastAsia="仿宋_GB2312" w:cs="仿宋_GB2312"/>
          <w:sz w:val="32"/>
          <w:szCs w:val="32"/>
        </w:rPr>
        <w:t>.15</w:t>
      </w:r>
      <w:r>
        <w:rPr>
          <w:rFonts w:hint="eastAsia" w:ascii="仿宋_GB2312" w:hAnsi="仿宋_GB2312" w:eastAsia="仿宋_GB2312" w:cs="仿宋_GB2312"/>
          <w:kern w:val="2"/>
          <w:sz w:val="32"/>
          <w:szCs w:val="30"/>
          <w:lang w:val="en-US" w:eastAsia="zh-CN" w:bidi="ar-SA"/>
        </w:rPr>
        <w:t>万元，较上年预算安排增加2,634.35万元；事业单位经营收入0万元，较上年预算安排增加0万元。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二</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2023年景德镇陶瓷产业创新发展中心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w:t>
      </w:r>
      <w:r>
        <w:rPr>
          <w:rFonts w:hint="eastAsia" w:ascii="仿宋_GB2312" w:hAnsi="宋体" w:eastAsia="仿宋_GB2312" w:cs="仿宋_GB2312"/>
          <w:sz w:val="32"/>
          <w:szCs w:val="32"/>
        </w:rPr>
        <w:t>37</w:t>
      </w:r>
      <w:r>
        <w:rPr>
          <w:rFonts w:hint="eastAsia" w:ascii="仿宋_GB2312" w:hAnsi="宋体" w:eastAsia="仿宋_GB2312" w:cs="仿宋_GB2312"/>
          <w:sz w:val="32"/>
          <w:szCs w:val="32"/>
          <w:lang w:val="en-US" w:eastAsia="zh-CN"/>
        </w:rPr>
        <w:t>92</w:t>
      </w:r>
      <w:r>
        <w:rPr>
          <w:rFonts w:hint="eastAsia" w:ascii="仿宋_GB2312" w:hAnsi="宋体" w:eastAsia="仿宋_GB2312" w:cs="仿宋_GB2312"/>
          <w:sz w:val="32"/>
          <w:szCs w:val="32"/>
        </w:rPr>
        <w:t>.15</w:t>
      </w:r>
      <w:r>
        <w:rPr>
          <w:rFonts w:hint="eastAsia" w:ascii="仿宋_GB2312" w:hAnsi="仿宋_GB2312" w:eastAsia="仿宋_GB2312" w:cs="仿宋_GB2312"/>
          <w:kern w:val="2"/>
          <w:sz w:val="32"/>
          <w:szCs w:val="30"/>
          <w:lang w:val="en-US" w:eastAsia="zh-CN" w:bidi="ar-SA"/>
        </w:rPr>
        <w:t>万元，较上年预算安排增加2,634.35万元；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w:t>
      </w:r>
      <w:r>
        <w:rPr>
          <w:rFonts w:hint="eastAsia" w:ascii="仿宋_GB2312" w:hAnsi="宋体" w:eastAsia="仿宋_GB2312" w:cs="仿宋_GB2312"/>
          <w:sz w:val="32"/>
          <w:szCs w:val="32"/>
        </w:rPr>
        <w:t>1500.78</w:t>
      </w:r>
      <w:r>
        <w:rPr>
          <w:rFonts w:hint="eastAsia" w:ascii="仿宋_GB2312" w:hAnsi="仿宋_GB2312" w:eastAsia="仿宋_GB2312" w:cs="仿宋_GB2312"/>
          <w:kern w:val="2"/>
          <w:sz w:val="32"/>
          <w:szCs w:val="30"/>
          <w:lang w:val="en-US" w:eastAsia="zh-CN" w:bidi="ar-SA"/>
        </w:rPr>
        <w:t>万元，较上年预算安排增加379.99万元；其中：</w:t>
      </w:r>
      <w:r>
        <w:rPr>
          <w:rFonts w:hint="eastAsia" w:ascii="仿宋_GB2312" w:hAnsi="宋体" w:eastAsia="仿宋_GB2312" w:cs="仿宋_GB2312"/>
          <w:sz w:val="32"/>
          <w:szCs w:val="32"/>
        </w:rPr>
        <w:t>工资福利支出1117.54万元，商品和服务支出78.59万元，对个人和家庭的补助302.66万元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其他资本性支出2.00万元</w:t>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宋体" w:eastAsia="仿宋_GB2312" w:cs="仿宋_GB2312"/>
          <w:sz w:val="32"/>
          <w:szCs w:val="32"/>
        </w:rPr>
        <w:t>项目支出2291.37万元</w:t>
      </w:r>
      <w:r>
        <w:rPr>
          <w:rFonts w:hint="eastAsia" w:ascii="仿宋_GB2312" w:hAnsi="仿宋_GB2312" w:eastAsia="仿宋_GB2312" w:cs="仿宋_GB2312"/>
          <w:kern w:val="2"/>
          <w:sz w:val="32"/>
          <w:szCs w:val="30"/>
          <w:lang w:val="en-US" w:eastAsia="zh-CN" w:bidi="ar-SA"/>
        </w:rPr>
        <w:t>，较上年预算安排增加2,254.35万元。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w:t>
      </w:r>
      <w:r>
        <w:rPr>
          <w:rFonts w:hint="eastAsia" w:ascii="仿宋_GB2312" w:hAnsi="宋体" w:eastAsia="仿宋_GB2312" w:cs="仿宋_GB2312"/>
          <w:sz w:val="32"/>
          <w:szCs w:val="32"/>
        </w:rPr>
        <w:t>390.43</w:t>
      </w:r>
      <w:r>
        <w:rPr>
          <w:rFonts w:hint="eastAsia" w:ascii="仿宋_GB2312" w:hAnsi="仿宋_GB2312" w:eastAsia="仿宋_GB2312" w:cs="仿宋_GB2312"/>
          <w:kern w:val="2"/>
          <w:sz w:val="32"/>
          <w:szCs w:val="30"/>
          <w:lang w:val="en-US" w:eastAsia="zh-CN" w:bidi="ar-SA"/>
        </w:rPr>
        <w:t>万元，较上年预算安排减少2.9万元；卫生健康支出</w:t>
      </w:r>
      <w:r>
        <w:rPr>
          <w:rFonts w:hint="eastAsia" w:ascii="仿宋_GB2312" w:hAnsi="宋体" w:eastAsia="仿宋_GB2312" w:cs="仿宋_GB2312"/>
          <w:sz w:val="32"/>
          <w:szCs w:val="32"/>
        </w:rPr>
        <w:t>114.66</w:t>
      </w:r>
      <w:r>
        <w:rPr>
          <w:rFonts w:hint="eastAsia" w:ascii="仿宋_GB2312" w:hAnsi="仿宋_GB2312" w:eastAsia="仿宋_GB2312" w:cs="仿宋_GB2312"/>
          <w:kern w:val="2"/>
          <w:sz w:val="32"/>
          <w:szCs w:val="30"/>
          <w:lang w:val="en-US" w:eastAsia="zh-CN" w:bidi="ar-SA"/>
        </w:rPr>
        <w:t>万元，较上年预算安排减少4.05万元；</w:t>
      </w:r>
      <w:r>
        <w:rPr>
          <w:rFonts w:hint="eastAsia" w:ascii="仿宋_GB2312" w:hAnsi="宋体" w:eastAsia="仿宋_GB2312" w:cs="仿宋_GB2312"/>
          <w:sz w:val="32"/>
          <w:szCs w:val="32"/>
        </w:rPr>
        <w:t>资源勘探工业信息等支出3240.04万元</w:t>
      </w:r>
      <w:r>
        <w:rPr>
          <w:rFonts w:hint="eastAsia" w:ascii="仿宋_GB2312" w:hAnsi="宋体" w:eastAsia="仿宋_GB2312" w:cs="仿宋_GB2312"/>
          <w:sz w:val="32"/>
          <w:szCs w:val="32"/>
          <w:lang w:eastAsia="zh-CN"/>
        </w:rPr>
        <w:t>，</w:t>
      </w:r>
      <w:r>
        <w:rPr>
          <w:rFonts w:hint="eastAsia" w:ascii="仿宋_GB2312" w:hAnsi="仿宋_GB2312" w:eastAsia="仿宋_GB2312" w:cs="仿宋_GB2312"/>
          <w:kern w:val="2"/>
          <w:sz w:val="32"/>
          <w:szCs w:val="30"/>
          <w:lang w:val="en-US" w:eastAsia="zh-CN" w:bidi="ar-SA"/>
        </w:rPr>
        <w:t>较上年预算安排增加2,648.85万元</w:t>
      </w:r>
      <w:r>
        <w:rPr>
          <w:rFonts w:hint="eastAsia" w:ascii="仿宋_GB2312" w:hAnsi="宋体" w:eastAsia="仿宋_GB2312" w:cs="仿宋_GB2312"/>
          <w:sz w:val="32"/>
          <w:szCs w:val="32"/>
          <w:lang w:eastAsia="zh-CN"/>
        </w:rPr>
        <w:t>；</w:t>
      </w:r>
      <w:r>
        <w:rPr>
          <w:rFonts w:hint="eastAsia" w:ascii="仿宋_GB2312" w:hAnsi="仿宋_GB2312" w:eastAsia="仿宋_GB2312" w:cs="仿宋_GB2312"/>
          <w:kern w:val="2"/>
          <w:sz w:val="32"/>
          <w:szCs w:val="30"/>
          <w:lang w:val="en-US" w:eastAsia="zh-CN" w:bidi="ar-SA"/>
        </w:rPr>
        <w:t>住房保障支出</w:t>
      </w:r>
      <w:r>
        <w:rPr>
          <w:rFonts w:hint="eastAsia" w:ascii="仿宋_GB2312" w:hAnsi="宋体" w:eastAsia="仿宋_GB2312" w:cs="仿宋_GB2312"/>
          <w:sz w:val="32"/>
          <w:szCs w:val="32"/>
        </w:rPr>
        <w:t>47.03</w:t>
      </w:r>
      <w:r>
        <w:rPr>
          <w:rFonts w:hint="eastAsia" w:ascii="仿宋_GB2312" w:hAnsi="仿宋_GB2312" w:eastAsia="仿宋_GB2312" w:cs="仿宋_GB2312"/>
          <w:kern w:val="2"/>
          <w:sz w:val="32"/>
          <w:szCs w:val="30"/>
          <w:lang w:val="en-US" w:eastAsia="zh-CN" w:bidi="ar-SA"/>
        </w:rPr>
        <w:t>万元，较上年预算安排减少7.55万元。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按支出经济分类划分：工资福利支出</w:t>
      </w:r>
      <w:r>
        <w:rPr>
          <w:rFonts w:hint="eastAsia" w:ascii="仿宋_GB2312" w:hAnsi="宋体" w:eastAsia="仿宋_GB2312" w:cs="仿宋_GB2312"/>
          <w:sz w:val="32"/>
          <w:szCs w:val="32"/>
          <w:lang w:val="en-US" w:eastAsia="zh-CN"/>
        </w:rPr>
        <w:t>1717.54</w:t>
      </w:r>
      <w:r>
        <w:rPr>
          <w:rFonts w:hint="eastAsia" w:ascii="仿宋_GB2312" w:hAnsi="仿宋_GB2312" w:eastAsia="仿宋_GB2312" w:cs="仿宋_GB2312"/>
          <w:kern w:val="2"/>
          <w:sz w:val="32"/>
          <w:szCs w:val="30"/>
          <w:lang w:val="en-US" w:eastAsia="zh-CN" w:bidi="ar-SA"/>
        </w:rPr>
        <w:t>万元，较上年预算安排增加996.12万元；商品和服务支出</w:t>
      </w:r>
      <w:r>
        <w:rPr>
          <w:rFonts w:hint="eastAsia" w:ascii="仿宋_GB2312" w:hAnsi="宋体" w:eastAsia="仿宋_GB2312" w:cs="仿宋_GB2312"/>
          <w:sz w:val="32"/>
          <w:szCs w:val="32"/>
          <w:lang w:val="en-US" w:eastAsia="zh-CN"/>
        </w:rPr>
        <w:t>1769.95</w:t>
      </w:r>
      <w:r>
        <w:rPr>
          <w:rFonts w:hint="eastAsia" w:ascii="仿宋_GB2312" w:hAnsi="仿宋_GB2312" w:eastAsia="仿宋_GB2312" w:cs="仿宋_GB2312"/>
          <w:kern w:val="2"/>
          <w:sz w:val="32"/>
          <w:szCs w:val="30"/>
          <w:lang w:val="en-US" w:eastAsia="zh-CN" w:bidi="ar-SA"/>
        </w:rPr>
        <w:t>万元，较上年预算安排增加1,647.96万元；对个人和家庭的补助</w:t>
      </w:r>
      <w:r>
        <w:rPr>
          <w:rFonts w:hint="eastAsia" w:ascii="仿宋_GB2312" w:hAnsi="宋体" w:eastAsia="仿宋_GB2312" w:cs="仿宋_GB2312"/>
          <w:sz w:val="32"/>
          <w:szCs w:val="32"/>
          <w:lang w:val="en-US" w:eastAsia="zh-CN"/>
        </w:rPr>
        <w:t>302.66</w:t>
      </w:r>
      <w:r>
        <w:rPr>
          <w:rFonts w:hint="eastAsia" w:ascii="仿宋_GB2312" w:hAnsi="仿宋_GB2312" w:eastAsia="仿宋_GB2312" w:cs="仿宋_GB2312"/>
          <w:kern w:val="2"/>
          <w:sz w:val="32"/>
          <w:szCs w:val="30"/>
          <w:lang w:val="en-US" w:eastAsia="zh-CN" w:bidi="ar-SA"/>
        </w:rPr>
        <w:t>万元，较上年预算安排减少11.74万元；资本性支出2万元，较上年预算安排增加2万元。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三</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2023年景德镇陶瓷产业创新发展中心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w:t>
      </w:r>
      <w:r>
        <w:rPr>
          <w:rFonts w:hint="eastAsia" w:ascii="仿宋_GB2312" w:hAnsi="宋体" w:eastAsia="仿宋_GB2312" w:cs="仿宋_GB2312"/>
          <w:sz w:val="32"/>
          <w:szCs w:val="32"/>
        </w:rPr>
        <w:t>37</w:t>
      </w:r>
      <w:r>
        <w:rPr>
          <w:rFonts w:hint="eastAsia" w:ascii="仿宋_GB2312" w:hAnsi="宋体" w:eastAsia="仿宋_GB2312" w:cs="仿宋_GB2312"/>
          <w:sz w:val="32"/>
          <w:szCs w:val="32"/>
          <w:lang w:val="en-US" w:eastAsia="zh-CN"/>
        </w:rPr>
        <w:t>92</w:t>
      </w:r>
      <w:r>
        <w:rPr>
          <w:rFonts w:hint="eastAsia" w:ascii="仿宋_GB2312" w:hAnsi="宋体" w:eastAsia="仿宋_GB2312" w:cs="仿宋_GB2312"/>
          <w:sz w:val="32"/>
          <w:szCs w:val="32"/>
        </w:rPr>
        <w:t>.15</w:t>
      </w:r>
      <w:r>
        <w:rPr>
          <w:rFonts w:hint="eastAsia" w:ascii="仿宋_GB2312" w:hAnsi="仿宋_GB2312" w:eastAsia="仿宋_GB2312" w:cs="仿宋_GB2312"/>
          <w:kern w:val="2"/>
          <w:sz w:val="32"/>
          <w:szCs w:val="30"/>
          <w:lang w:val="en-US" w:eastAsia="zh-CN" w:bidi="ar-SA"/>
        </w:rPr>
        <w:t>万元，较上年预算安排增加2,634.35万元；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w:t>
      </w:r>
      <w:r>
        <w:rPr>
          <w:rFonts w:hint="eastAsia" w:ascii="仿宋_GB2312" w:hAnsi="宋体" w:eastAsia="仿宋_GB2312" w:cs="仿宋_GB2312"/>
          <w:sz w:val="32"/>
          <w:szCs w:val="32"/>
        </w:rPr>
        <w:t>1500.78</w:t>
      </w:r>
      <w:r>
        <w:rPr>
          <w:rFonts w:hint="eastAsia" w:ascii="仿宋_GB2312" w:hAnsi="仿宋_GB2312" w:eastAsia="仿宋_GB2312" w:cs="仿宋_GB2312"/>
          <w:kern w:val="2"/>
          <w:sz w:val="32"/>
          <w:szCs w:val="30"/>
          <w:lang w:val="en-US" w:eastAsia="zh-CN" w:bidi="ar-SA"/>
        </w:rPr>
        <w:t>万元，较上年预算安排增加379.99万元；其中：</w:t>
      </w:r>
      <w:r>
        <w:rPr>
          <w:rFonts w:hint="eastAsia" w:ascii="仿宋_GB2312" w:hAnsi="宋体" w:eastAsia="仿宋_GB2312" w:cs="仿宋_GB2312"/>
          <w:sz w:val="32"/>
          <w:szCs w:val="32"/>
        </w:rPr>
        <w:t>工资福利支出1117.54万元，商品和服务支出78.59万元，对个人和家庭的补助302.66万元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其他资本性支出2.00万元</w:t>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宋体" w:eastAsia="仿宋_GB2312" w:cs="仿宋_GB2312"/>
          <w:sz w:val="32"/>
          <w:szCs w:val="32"/>
        </w:rPr>
        <w:t>项目支出2291.37万元</w:t>
      </w:r>
      <w:r>
        <w:rPr>
          <w:rFonts w:hint="eastAsia" w:ascii="仿宋_GB2312" w:hAnsi="仿宋_GB2312" w:eastAsia="仿宋_GB2312" w:cs="仿宋_GB2312"/>
          <w:kern w:val="2"/>
          <w:sz w:val="32"/>
          <w:szCs w:val="30"/>
          <w:lang w:val="en-US" w:eastAsia="zh-CN" w:bidi="ar-SA"/>
        </w:rPr>
        <w:t>，较上年预算安排增加2,254.35万元。</w:t>
      </w:r>
      <w:r>
        <w:rPr>
          <w:rFonts w:hint="eastAsia" w:ascii="仿宋_GB2312" w:hAnsi="仿宋_GB2312" w:eastAsia="仿宋_GB2312" w:cs="仿宋_GB2312"/>
          <w:kern w:val="2"/>
          <w:sz w:val="32"/>
          <w:szCs w:val="30"/>
          <w:lang w:val="en-US" w:eastAsia="zh-CN" w:bidi="ar-SA"/>
        </w:rPr>
        <w:fldChar w:fldCharType="end"/>
      </w:r>
    </w:p>
    <w:p>
      <w:pPr>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宋体" w:eastAsia="仿宋_GB2312" w:cs="仿宋_GB2312"/>
          <w:sz w:val="32"/>
          <w:szCs w:val="32"/>
        </w:rPr>
        <w:t>社会保障和就业支出390.43万元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卫生健康支出114.66万元；资源勘探工业信息等支出3240.04万元；住房保障支出47.03万元。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四</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kern w:val="2"/>
          <w:sz w:val="32"/>
          <w:szCs w:val="30"/>
          <w:lang w:val="en-US" w:eastAsia="zh-CN" w:bidi="ar-SA"/>
        </w:rPr>
      </w:pPr>
      <w:r>
        <w:rPr>
          <w:rStyle w:val="11"/>
          <w:rFonts w:hint="eastAsia" w:ascii="仿宋_GB2312" w:hAnsi="仿宋_GB2312" w:eastAsia="仿宋_GB2312" w:cs="仿宋_GB2312"/>
          <w:b w:val="0"/>
          <w:bCs/>
          <w:sz w:val="32"/>
          <w:szCs w:val="32"/>
        </w:rPr>
        <w:t>本部门没有使用政府性基金预算拨款安排的支出</w:t>
      </w:r>
      <w:r>
        <w:rPr>
          <w:rStyle w:val="11"/>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1"/>
          <w:rFonts w:hint="eastAsia" w:ascii="仿宋" w:hAnsi="仿宋" w:eastAsia="仿宋_GB2312"/>
          <w:b w:val="0"/>
          <w:bCs/>
          <w:sz w:val="32"/>
          <w:szCs w:val="32"/>
          <w:lang w:eastAsia="zh-CN"/>
        </w:rPr>
      </w:pPr>
      <w:r>
        <w:rPr>
          <w:rStyle w:val="11"/>
          <w:rFonts w:hint="eastAsia" w:ascii="仿宋_GB2312" w:hAnsi="仿宋_GB2312" w:eastAsia="仿宋_GB2312" w:cs="仿宋_GB2312"/>
          <w:b w:val="0"/>
          <w:bCs/>
          <w:sz w:val="32"/>
          <w:szCs w:val="32"/>
        </w:rPr>
        <w:t>本部门没有使用国有资本经营预算拨款安排的支出</w:t>
      </w:r>
      <w:r>
        <w:rPr>
          <w:rStyle w:val="11"/>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六</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仿宋_GB2312"/>
          <w:sz w:val="32"/>
          <w:szCs w:val="32"/>
          <w:lang w:eastAsia="zh-CN"/>
        </w:rPr>
      </w:pPr>
      <w:r>
        <w:rPr>
          <w:rStyle w:val="11"/>
          <w:rFonts w:hint="eastAsia" w:ascii="仿宋_GB2312" w:hAnsi="仿宋_GB2312" w:eastAsia="仿宋_GB2312" w:cs="仿宋_GB2312"/>
          <w:b w:val="0"/>
          <w:bCs w:val="0"/>
          <w:sz w:val="32"/>
          <w:szCs w:val="32"/>
        </w:rPr>
        <w:t>本部门无行政参公单位，无机关运行经费</w:t>
      </w:r>
      <w:r>
        <w:rPr>
          <w:rStyle w:val="11"/>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七</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2023年部门所属各单位政府采购总额2万元，其中：政府采购货物预算2万元，政府采购工程预算0万元，政府采购服务预算0万元。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八</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部门共有车辆0辆；其中：一般业务用车实有数0辆，特殊业务用车实有数0辆，执法执勤用车实有数0辆。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2023年部门预算安排购置车辆0辆，安排购置单位价值200万元以上大型设备具体为：0。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rPr>
        <w:t>（九）江西省陶瓷工业公司社会事务管理中心项目情况说明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1）项目概述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江西省陶瓷工业公司社会事务管理中心改制企业留守人员工资及管理运行费，国有资产维修费用、解决陶瓷改制企业遗留问题，对托管资产进行管理及维护，确保国有资产保值增值。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2）立项依据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改制企业留守人员工资及管理运行费，国有资产维修费用、解决陶瓷改制企业遗留问题。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3）实施主体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社会事务管理中心及下属改制企业。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4）实施方案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为了对托管资产进行管理及维护，确保国有资产保值增值。对改制企业收支进行规范管理。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5）实施周期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1年为周期。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6）年度预算安排</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金额为2291.37万元。</w:t>
      </w:r>
    </w:p>
    <w:p>
      <w:pPr>
        <w:keepNext w:val="0"/>
        <w:keepLines w:val="0"/>
        <w:pageBreakBefore w:val="0"/>
        <w:kinsoku/>
        <w:wordWrap/>
        <w:overflowPunct/>
        <w:topLinePunct w:val="0"/>
        <w:autoSpaceDE/>
        <w:autoSpaceDN/>
        <w:bidi w:val="0"/>
        <w:adjustRightInd/>
        <w:snapToGrid/>
        <w:spacing w:line="600" w:lineRule="exact"/>
        <w:ind w:firstLine="642"/>
        <w:jc w:val="both"/>
        <w:textAlignment w:val="auto"/>
        <w:rPr>
          <w:rFonts w:ascii="Adobe 仿宋 Std R" w:hAnsi="Adobe 仿宋 Std R" w:eastAsia="Adobe 仿宋 Std R"/>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2023年景德镇陶瓷产业创新发展中心“三公”经费财政拨款安排1万元，其中：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公务接待费1万元，比上年增加0万元，主要原因是：与上年安排保持一致。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公务用车购置费0万元，比上年增加0万元，主要原因是：与上年安排保持一致。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1"/>
          <w:rFonts w:hint="eastAsia" w:ascii="楷体_GB2312" w:hAnsi="楷体_GB2312" w:eastAsia="楷体_GB2312" w:cs="楷体_GB2312"/>
          <w:b/>
          <w:bCs w:val="0"/>
          <w:sz w:val="32"/>
          <w:szCs w:val="32"/>
          <w:lang w:val="en-US" w:eastAsia="zh-CN"/>
        </w:rPr>
        <w:t>（一）</w:t>
      </w:r>
      <w:r>
        <w:rPr>
          <w:rStyle w:val="11"/>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1"/>
          <w:rFonts w:hint="eastAsia" w:ascii="楷体_GB2312" w:hAnsi="楷体_GB2312" w:eastAsia="楷体_GB2312" w:cs="楷体_GB2312"/>
          <w:b/>
          <w:bCs w:val="0"/>
          <w:sz w:val="32"/>
          <w:szCs w:val="32"/>
          <w:lang w:val="en-US" w:eastAsia="zh-CN"/>
        </w:rPr>
        <w:t>（二）</w:t>
      </w:r>
      <w:r>
        <w:rPr>
          <w:rStyle w:val="11"/>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1"/>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w:t>
      </w:r>
      <w:bookmarkStart w:id="0" w:name="_GoBack"/>
      <w:bookmarkEnd w:id="0"/>
      <w:r>
        <w:rPr>
          <w:rFonts w:hint="eastAsia" w:ascii="仿宋_GB2312" w:hAnsi="仿宋_GB2312" w:eastAsia="仿宋_GB2312" w:cs="仿宋_GB2312"/>
          <w:kern w:val="2"/>
          <w:sz w:val="32"/>
          <w:szCs w:val="30"/>
          <w:lang w:val="en-US" w:eastAsia="zh-CN" w:bidi="ar-SA"/>
        </w:rPr>
        <w:t>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（一）社会保障和就业支出(类)行政事业单位养老支出(款)机关事业单位基本养老保险缴费支出(项):反映机关事业单位实施养老保险制度由单位缴纳的基本养老保险费支出。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（二）社会保障和就业支出(类)行政事业单位养老支出(款)机关事业单位职业年金缴费支出(项):反映机关事业单位实施养老保险制度由单位实际缴纳的职业年金支出（含职业年金补记支出）。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（三）社会保障和就业支出(类)行政事业单位离退休(款)未归口管理的行政单位离退休(项):指未实行归口管理的行政单位开支的离退休支出。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（四）卫生健康支出(类)行政事业单位医疗(款)事业单位医疗(项):反映财政部门安排的事业单位基本医疗保险缴费经费，未参加医疗保险的事业单位的公费医疗经费，按国家规定享受离休人员待遇的医疗经费。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（五）卫生健康支出(类)行政事业单位医疗(款)公务员医疗补助(项):反映财政部门安排的公务员医疗补助经费。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（六）卫生健康支出(类)行政事业单位医疗(款)其他行政事业单位医疗支出(项):反映除上述项目以外的其他用于行政事业单位医疗方面的支出。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（七）资源勘探信息等支出（类）国有资产监管（款）行政运行（项）：反映行政单位（包括参照公务员管理的事业单位）的基本支出。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000000"/>
          <w:sz w:val="32"/>
          <w:szCs w:val="30"/>
        </w:rPr>
      </w:pPr>
      <w:r>
        <w:rPr>
          <w:rFonts w:hint="eastAsia" w:ascii="仿宋_GB2312" w:hAnsi="仿宋_GB2312" w:eastAsia="仿宋_GB2312" w:cs="仿宋_GB2312"/>
          <w:kern w:val="2"/>
          <w:sz w:val="32"/>
          <w:szCs w:val="30"/>
          <w:lang w:val="en-US" w:eastAsia="zh-CN" w:bidi="ar-SA"/>
        </w:rPr>
        <w:t>（八）住房保障支出(类)住房改革支出(款)住房公积金(项)：反映行政事业单位按规定比例为职工缴纳的住房公积金。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1"/>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8CB144-A20A-41E7-8F72-9186B570BD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embedRegular r:id="rId2" w:fontKey="{FCABC4FD-EF1E-4B24-8848-EF4421AA221F}"/>
  </w:font>
  <w:font w:name="仿宋_GB2312">
    <w:altName w:val="仿宋"/>
    <w:panose1 w:val="02010609030101010101"/>
    <w:charset w:val="86"/>
    <w:family w:val="auto"/>
    <w:pitch w:val="default"/>
    <w:sig w:usb0="00000000" w:usb1="00000000" w:usb2="00000000" w:usb3="00000000" w:csb0="00040000" w:csb1="00000000"/>
    <w:embedRegular r:id="rId3" w:fontKey="{3973E1D3-44BB-46B3-9DB5-6ABC8330BB98}"/>
  </w:font>
  <w:font w:name="Adobe 仿宋 Std R">
    <w:altName w:val="仿宋"/>
    <w:panose1 w:val="00000000000000000000"/>
    <w:charset w:val="86"/>
    <w:family w:val="roman"/>
    <w:pitch w:val="default"/>
    <w:sig w:usb0="00000000" w:usb1="00000000" w:usb2="00000016" w:usb3="00000000" w:csb0="00060007" w:csb1="00000000"/>
    <w:embedRegular r:id="rId4" w:fontKey="{170AD1DB-B878-4608-A38F-8B5F648ACFB1}"/>
  </w:font>
  <w:font w:name="方正小标宋简体">
    <w:panose1 w:val="02000000000000000000"/>
    <w:charset w:val="86"/>
    <w:family w:val="auto"/>
    <w:pitch w:val="default"/>
    <w:sig w:usb0="00000001" w:usb1="08000000" w:usb2="00000000" w:usb3="00000000" w:csb0="00040000" w:csb1="00000000"/>
    <w:embedRegular r:id="rId5" w:fontKey="{DBAB08DF-5211-4B68-B17B-F7092689145F}"/>
  </w:font>
  <w:font w:name="楷体_GB2312">
    <w:altName w:val="楷体"/>
    <w:panose1 w:val="02010609030101010101"/>
    <w:charset w:val="86"/>
    <w:family w:val="auto"/>
    <w:pitch w:val="default"/>
    <w:sig w:usb0="00000000" w:usb1="00000000" w:usb2="00000000" w:usb3="00000000" w:csb0="00040000" w:csb1="00000000"/>
    <w:embedRegular r:id="rId6" w:fontKey="{41A9AC16-9677-478A-BCFB-DC7F533B573F}"/>
  </w:font>
  <w:font w:name="仿宋">
    <w:panose1 w:val="02010609060101010101"/>
    <w:charset w:val="86"/>
    <w:family w:val="modern"/>
    <w:pitch w:val="default"/>
    <w:sig w:usb0="800002BF" w:usb1="38CF7CFA" w:usb2="00000016" w:usb3="00000000" w:csb0="00040001" w:csb1="00000000"/>
    <w:embedRegular r:id="rId7" w:fontKey="{FC2EF617-44C2-4BBF-A597-0864ECF7AB0F}"/>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25AF0"/>
    <w:multiLevelType w:val="singleLevel"/>
    <w:tmpl w:val="6A825AF0"/>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NjM2JlZDlkY2RmYmVjNmZmN2Y0MzM3NmYwMz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87684F"/>
    <w:rsid w:val="06483D8D"/>
    <w:rsid w:val="067A6028"/>
    <w:rsid w:val="069B49E3"/>
    <w:rsid w:val="0A794431"/>
    <w:rsid w:val="0C7805F2"/>
    <w:rsid w:val="0C97247A"/>
    <w:rsid w:val="0DB3098E"/>
    <w:rsid w:val="0F8E55BD"/>
    <w:rsid w:val="110A5804"/>
    <w:rsid w:val="1D3B2063"/>
    <w:rsid w:val="206D0602"/>
    <w:rsid w:val="22430342"/>
    <w:rsid w:val="22630961"/>
    <w:rsid w:val="23DF164F"/>
    <w:rsid w:val="25B931E9"/>
    <w:rsid w:val="26B34FE5"/>
    <w:rsid w:val="2828673B"/>
    <w:rsid w:val="2B2871A4"/>
    <w:rsid w:val="2C57797E"/>
    <w:rsid w:val="3328400E"/>
    <w:rsid w:val="3A841EE9"/>
    <w:rsid w:val="3A9F1A72"/>
    <w:rsid w:val="3B7D1841"/>
    <w:rsid w:val="3C1434A8"/>
    <w:rsid w:val="3F383632"/>
    <w:rsid w:val="4052753A"/>
    <w:rsid w:val="4A901356"/>
    <w:rsid w:val="4D437A39"/>
    <w:rsid w:val="53516268"/>
    <w:rsid w:val="56C47F55"/>
    <w:rsid w:val="5CF87539"/>
    <w:rsid w:val="5D6446E2"/>
    <w:rsid w:val="616B731F"/>
    <w:rsid w:val="63E33020"/>
    <w:rsid w:val="69303150"/>
    <w:rsid w:val="6BE248E5"/>
    <w:rsid w:val="6EDB6140"/>
    <w:rsid w:val="708A7EDC"/>
    <w:rsid w:val="71001F2A"/>
    <w:rsid w:val="73A85115"/>
    <w:rsid w:val="79435385"/>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rPr>
      <w:sz w:val="24"/>
      <w:szCs w:val="24"/>
    </w:rPr>
  </w:style>
  <w:style w:type="character" w:styleId="7">
    <w:name w:val="Hyperlink"/>
    <w:basedOn w:val="6"/>
    <w:autoRedefine/>
    <w:qFormat/>
    <w:uiPriority w:val="0"/>
    <w:rPr>
      <w:color w:val="0000FF"/>
      <w:u w:val="single"/>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autoRedefine/>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3029</Words>
  <Characters>3144</Characters>
  <Lines>51</Lines>
  <Paragraphs>14</Paragraphs>
  <TotalTime>1</TotalTime>
  <ScaleCrop>false</ScaleCrop>
  <LinksUpToDate>false</LinksUpToDate>
  <CharactersWithSpaces>3168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阿静</cp:lastModifiedBy>
  <cp:lastPrinted>2024-02-05T02:35:00Z</cp:lastPrinted>
  <dcterms:modified xsi:type="dcterms:W3CDTF">2024-06-28T14:25:22Z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6C982422E72844D8B7BF51DA2CE7A522_13</vt:lpwstr>
  </property>
</Properties>
</file>