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r>
        <w:rPr>
          <w:rFonts w:hint="eastAsia" w:ascii="楷体_GB2312" w:hAnsi="仿宋" w:eastAsia="楷体_GB2312" w:cs="楷体_GB2312"/>
          <w:sz w:val="32"/>
          <w:szCs w:val="32"/>
        </w:rPr>
        <w:t>附件：</w:t>
      </w:r>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供销合作社</w:t>
      </w:r>
      <w:r>
        <w:rPr>
          <w:rFonts w:hint="eastAsia" w:ascii="黑体" w:hAnsi="黑体" w:eastAsia="黑体" w:cs="黑体"/>
        </w:rPr>
        <w:t>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供销合作社</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供销合作社</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景德镇市供销合作社</w:t>
      </w:r>
      <w:r>
        <w:rPr>
          <w:rFonts w:hint="eastAsia" w:ascii="黑体" w:hAnsi="宋体" w:eastAsia="黑体" w:cs="黑体"/>
          <w:sz w:val="32"/>
          <w:szCs w:val="32"/>
        </w:rPr>
        <w:t>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供销合作社</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（一）宣传贯彻党中央、国务院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省委、省政府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市委、市政府“三农”工作方针、政策，研究拟定全市供销合作社联合社的发展战略和发展规划，指导全市供销合作事业发展。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（二）根据授权对重要农业生产资料、农副产品经营进行组织、协调和管理，指导全市各级供销合作社联合社承担政府委托的公益性服务和其他任务。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推进供销合作社联合社法治建设，履行供销合作社联合社章程规定的权利和义务，维护全市各级供销合作社联合社的合法权益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（四）协调有关部门的关系，指导全市供销合作社联合社业务活动，支持供销合作社发展电子商务和开展农村合作金融服务，领办创办农民专业合作社，更好履行为农服务职责。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（五）指导社有资产运营，确保社有企业为农服务方向，履行社有资产监管职责，落实保值增值和安全责任。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（六）承办市委、市政府交办的其他事项。</w:t>
      </w:r>
    </w:p>
    <w:p>
      <w:pPr>
        <w:numPr>
          <w:ilvl w:val="0"/>
          <w:numId w:val="1"/>
        </w:num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市供销社机关内设6个职能科室：办公室、组织人事科、金融发展科、财务科、合作指导室、企业管理科。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val="en-US" w:eastAsia="zh-CN"/>
        </w:rPr>
        <w:t>市供销社全额拨款事业编制25名，</w:t>
      </w:r>
      <w:r>
        <w:rPr>
          <w:rFonts w:hint="eastAsia" w:ascii="仿宋_GB2312" w:hAnsi="仿宋_GB2312" w:eastAsia="仿宋_GB2312" w:cs="仿宋_GB2312"/>
          <w:sz w:val="32"/>
          <w:szCs w:val="32"/>
        </w:rPr>
        <w:t>设理事会主任1名、副主任3名，监事会主任（副处级）1名，正科职数7名（含监事会副主任1名），副科职数3名。</w:t>
      </w:r>
    </w:p>
    <w:p>
      <w:pPr>
        <w:numPr>
          <w:ilvl w:val="0"/>
          <w:numId w:val="0"/>
        </w:numPr>
        <w:snapToGrid w:val="0"/>
        <w:spacing w:line="520" w:lineRule="exact"/>
        <w:ind w:firstLine="640" w:firstLineChars="200"/>
        <w:jc w:val="left"/>
        <w:rPr>
          <w:rFonts w:hint="default" w:ascii="仿宋_GB2312" w:hAnsi="仿宋" w:eastAsia="仿宋_GB2312"/>
          <w:sz w:val="32"/>
          <w:szCs w:val="32"/>
          <w:lang w:val="en-US"/>
        </w:rPr>
      </w:pPr>
      <w:r>
        <w:rPr>
          <w:rFonts w:hint="eastAsia" w:ascii="仿宋_GB2312" w:hAnsi="仿宋" w:eastAsia="仿宋_GB2312"/>
          <w:sz w:val="32"/>
          <w:szCs w:val="32"/>
          <w:lang w:val="en-US" w:eastAsia="zh-CN"/>
        </w:rPr>
        <w:t>2021年在职人员25人，退休人员24名，离休人员1名。</w:t>
      </w:r>
    </w:p>
    <w:p>
      <w:pPr>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市供销合作社</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年收入预算总额为</w:t>
      </w:r>
      <w:r>
        <w:rPr>
          <w:rFonts w:hint="eastAsia" w:ascii="仿宋_GB2312" w:eastAsia="仿宋_GB2312"/>
          <w:sz w:val="32"/>
          <w:szCs w:val="32"/>
          <w:lang w:val="en-US" w:eastAsia="zh-CN"/>
        </w:rPr>
        <w:t>617.80</w:t>
      </w:r>
      <w:r>
        <w:rPr>
          <w:rFonts w:hint="eastAsia" w:ascii="仿宋_GB2312" w:eastAsia="仿宋_GB2312"/>
          <w:sz w:val="32"/>
          <w:szCs w:val="32"/>
        </w:rPr>
        <w:t>万元，</w:t>
      </w:r>
      <w:r>
        <w:rPr>
          <w:rFonts w:hint="eastAsia" w:ascii="仿宋_GB2312" w:eastAsia="仿宋_GB2312"/>
          <w:sz w:val="32"/>
          <w:szCs w:val="32"/>
          <w:lang w:val="en-US" w:eastAsia="zh-CN"/>
        </w:rPr>
        <w:t>较上年度增长28%，主要是零基预算改革后工资福利支出中奖金由财政统筹，</w:t>
      </w:r>
      <w:r>
        <w:rPr>
          <w:rFonts w:hint="eastAsia" w:ascii="仿宋_GB2312" w:eastAsia="仿宋_GB2312"/>
          <w:sz w:val="32"/>
          <w:szCs w:val="32"/>
        </w:rPr>
        <w:t>当年公共财政拨款收入</w:t>
      </w:r>
      <w:r>
        <w:rPr>
          <w:rFonts w:hint="eastAsia" w:ascii="仿宋_GB2312" w:eastAsia="仿宋_GB2312"/>
          <w:sz w:val="32"/>
          <w:szCs w:val="32"/>
          <w:lang w:val="en-US" w:eastAsia="zh-CN"/>
        </w:rPr>
        <w:t>617.80</w:t>
      </w:r>
      <w:r>
        <w:rPr>
          <w:rFonts w:hint="eastAsia" w:ascii="仿宋_GB2312" w:eastAsia="仿宋_GB2312"/>
          <w:sz w:val="32"/>
          <w:szCs w:val="32"/>
        </w:rPr>
        <w:t>万元，占收入预算总额的</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3" w:firstLineChars="200"/>
        <w:rPr>
          <w:rFonts w:hint="eastAsia" w:ascii="仿宋_GB2312" w:eastAsia="仿宋_GB2312"/>
          <w:sz w:val="32"/>
          <w:szCs w:val="32"/>
        </w:rPr>
      </w:pPr>
      <w:r>
        <w:rPr>
          <w:rFonts w:ascii="仿宋_GB2312" w:hAnsi="宋体" w:eastAsia="仿宋_GB2312" w:cs="仿宋_GB2312"/>
          <w:b/>
          <w:bCs/>
          <w:sz w:val="32"/>
          <w:szCs w:val="32"/>
        </w:rPr>
        <w:t xml:space="preserve">  </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年支出预算总额为</w:t>
      </w:r>
      <w:r>
        <w:rPr>
          <w:rFonts w:hint="eastAsia" w:ascii="仿宋_GB2312" w:eastAsia="仿宋_GB2312"/>
          <w:sz w:val="32"/>
          <w:szCs w:val="32"/>
          <w:lang w:val="en-US" w:eastAsia="zh-CN"/>
        </w:rPr>
        <w:t>617.80</w:t>
      </w:r>
      <w:r>
        <w:rPr>
          <w:rFonts w:hint="eastAsia" w:ascii="仿宋_GB2312" w:eastAsia="仿宋_GB2312"/>
          <w:sz w:val="32"/>
          <w:szCs w:val="32"/>
        </w:rPr>
        <w:t>万元，</w:t>
      </w:r>
      <w:r>
        <w:rPr>
          <w:rFonts w:hint="eastAsia" w:ascii="仿宋_GB2312" w:eastAsia="仿宋_GB2312"/>
          <w:sz w:val="32"/>
          <w:szCs w:val="32"/>
          <w:lang w:val="en-US" w:eastAsia="zh-CN"/>
        </w:rPr>
        <w:t>较上年度增长28%，</w:t>
      </w:r>
      <w:r>
        <w:rPr>
          <w:rFonts w:hint="eastAsia" w:ascii="仿宋_GB2312" w:eastAsia="仿宋_GB2312"/>
          <w:sz w:val="32"/>
          <w:szCs w:val="32"/>
        </w:rPr>
        <w:t>按支出项目类别划分：</w:t>
      </w:r>
    </w:p>
    <w:p>
      <w:pPr>
        <w:rPr>
          <w:rFonts w:hint="eastAsia" w:ascii="仿宋_GB2312" w:eastAsia="仿宋_GB2312"/>
          <w:sz w:val="32"/>
          <w:szCs w:val="32"/>
        </w:rPr>
      </w:pPr>
      <w:r>
        <w:rPr>
          <w:rFonts w:hint="eastAsia" w:ascii="仿宋_GB2312" w:eastAsia="仿宋_GB2312"/>
          <w:sz w:val="32"/>
          <w:szCs w:val="32"/>
        </w:rPr>
        <w:t>1、基本支出</w:t>
      </w:r>
      <w:r>
        <w:rPr>
          <w:rFonts w:hint="eastAsia" w:ascii="仿宋_GB2312" w:eastAsia="仿宋_GB2312"/>
          <w:sz w:val="32"/>
          <w:szCs w:val="32"/>
          <w:lang w:val="en-US" w:eastAsia="zh-CN"/>
        </w:rPr>
        <w:t>597.80</w:t>
      </w:r>
      <w:r>
        <w:rPr>
          <w:rFonts w:hint="eastAsia" w:ascii="仿宋_GB2312" w:eastAsia="仿宋_GB2312"/>
          <w:sz w:val="32"/>
          <w:szCs w:val="32"/>
        </w:rPr>
        <w:t>万元，占支出预算总额的</w:t>
      </w:r>
      <w:r>
        <w:rPr>
          <w:rFonts w:hint="eastAsia" w:ascii="仿宋_GB2312" w:eastAsia="仿宋_GB2312"/>
          <w:sz w:val="32"/>
          <w:szCs w:val="32"/>
          <w:lang w:val="en-US" w:eastAsia="zh-CN"/>
        </w:rPr>
        <w:t>96.76</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 xml:space="preserve">   其中：工资福利支出</w:t>
      </w:r>
      <w:r>
        <w:rPr>
          <w:rFonts w:hint="eastAsia" w:ascii="仿宋_GB2312" w:eastAsia="仿宋_GB2312"/>
          <w:sz w:val="32"/>
          <w:szCs w:val="32"/>
          <w:lang w:val="en-US" w:eastAsia="zh-CN"/>
        </w:rPr>
        <w:t>501.16</w:t>
      </w:r>
      <w:r>
        <w:rPr>
          <w:rFonts w:hint="eastAsia" w:ascii="仿宋_GB2312" w:eastAsia="仿宋_GB2312"/>
          <w:sz w:val="32"/>
          <w:szCs w:val="32"/>
        </w:rPr>
        <w:t>万元</w:t>
      </w:r>
    </w:p>
    <w:p>
      <w:pPr>
        <w:rPr>
          <w:rFonts w:hint="eastAsia" w:ascii="仿宋_GB2312" w:eastAsia="仿宋_GB2312"/>
          <w:sz w:val="32"/>
          <w:szCs w:val="32"/>
        </w:rPr>
      </w:pPr>
      <w:r>
        <w:rPr>
          <w:rFonts w:hint="eastAsia" w:ascii="仿宋_GB2312" w:eastAsia="仿宋_GB2312"/>
          <w:sz w:val="32"/>
          <w:szCs w:val="32"/>
        </w:rPr>
        <w:t xml:space="preserve">         商品和服务支出</w:t>
      </w:r>
      <w:r>
        <w:rPr>
          <w:rFonts w:hint="eastAsia" w:ascii="仿宋_GB2312" w:eastAsia="仿宋_GB2312"/>
          <w:sz w:val="32"/>
          <w:szCs w:val="32"/>
          <w:lang w:val="en-US" w:eastAsia="zh-CN"/>
        </w:rPr>
        <w:t>82.86</w:t>
      </w:r>
      <w:r>
        <w:rPr>
          <w:rFonts w:hint="eastAsia" w:ascii="仿宋_GB2312" w:eastAsia="仿宋_GB2312"/>
          <w:sz w:val="32"/>
          <w:szCs w:val="32"/>
        </w:rPr>
        <w:t>万元</w:t>
      </w:r>
    </w:p>
    <w:p>
      <w:pPr>
        <w:rPr>
          <w:rFonts w:hint="eastAsia" w:ascii="仿宋_GB2312" w:eastAsia="仿宋_GB2312"/>
          <w:sz w:val="32"/>
          <w:szCs w:val="32"/>
        </w:rPr>
      </w:pPr>
      <w:r>
        <w:rPr>
          <w:rFonts w:hint="eastAsia" w:ascii="仿宋_GB2312" w:eastAsia="仿宋_GB2312"/>
          <w:sz w:val="32"/>
          <w:szCs w:val="32"/>
        </w:rPr>
        <w:t xml:space="preserve">         对个人和家庭的补助</w:t>
      </w:r>
      <w:r>
        <w:rPr>
          <w:rFonts w:hint="eastAsia" w:ascii="仿宋_GB2312" w:eastAsia="仿宋_GB2312"/>
          <w:sz w:val="32"/>
          <w:szCs w:val="32"/>
          <w:lang w:val="en-US" w:eastAsia="zh-CN"/>
        </w:rPr>
        <w:t>13.78</w:t>
      </w:r>
      <w:r>
        <w:rPr>
          <w:rFonts w:hint="eastAsia" w:ascii="仿宋_GB2312" w:eastAsia="仿宋_GB2312"/>
          <w:sz w:val="32"/>
          <w:szCs w:val="32"/>
        </w:rPr>
        <w:t>万元</w:t>
      </w:r>
    </w:p>
    <w:p>
      <w:pPr>
        <w:numPr>
          <w:ilvl w:val="0"/>
          <w:numId w:val="2"/>
        </w:numPr>
        <w:rPr>
          <w:rFonts w:ascii="仿宋_GB2312" w:eastAsia="仿宋_GB2312" w:cs="Times New Roman"/>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20.00</w:t>
      </w:r>
      <w:r>
        <w:rPr>
          <w:rFonts w:hint="eastAsia" w:ascii="仿宋_GB2312" w:eastAsia="仿宋_GB2312"/>
          <w:sz w:val="32"/>
          <w:szCs w:val="32"/>
        </w:rPr>
        <w:t>万元，占支出预算总额的</w:t>
      </w:r>
      <w:r>
        <w:rPr>
          <w:rFonts w:hint="eastAsia" w:ascii="仿宋_GB2312" w:eastAsia="仿宋_GB2312"/>
          <w:sz w:val="32"/>
          <w:szCs w:val="32"/>
          <w:lang w:val="en-US" w:eastAsia="zh-CN"/>
        </w:rPr>
        <w:t>3.24</w:t>
      </w:r>
      <w:r>
        <w:rPr>
          <w:rFonts w:hint="eastAsia" w:ascii="仿宋_GB2312" w:eastAsia="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2021年公共财政拨款支出预算为617.80万元，占支出预算总额的100%。按支出功能科目分类：</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社会保障和就业支出30.26万元，占公共财政拨款支出预算的4.90%。</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卫生健康支出31.20万元，占公共财政拨款支出预算的5.05%。</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商业服务业等支出498.33万元，占公共财政拨款支出预算的80.66%。</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住房保障支出38.01万元，占公共财政拨款支出预算的6.15%。</w:t>
      </w:r>
    </w:p>
    <w:p>
      <w:pPr>
        <w:numPr>
          <w:ilvl w:val="0"/>
          <w:numId w:val="0"/>
        </w:numPr>
        <w:ind w:firstLine="640" w:firstLineChars="200"/>
        <w:rPr>
          <w:rFonts w:hint="eastAsia" w:ascii="仿宋_GB2312" w:hAnsi="宋体" w:eastAsia="仿宋_GB2312" w:cs="仿宋_GB2312"/>
          <w:b/>
          <w:bCs/>
          <w:sz w:val="32"/>
          <w:szCs w:val="32"/>
        </w:rPr>
      </w:pPr>
      <w:r>
        <w:rPr>
          <w:rFonts w:hint="eastAsia" w:ascii="仿宋_GB2312" w:eastAsia="仿宋_GB2312"/>
          <w:sz w:val="32"/>
          <w:szCs w:val="32"/>
          <w:lang w:val="en-US" w:eastAsia="zh-CN"/>
        </w:rPr>
        <w:t>粮油物资储备支出20.00万元，占公共财政拨款支出预算的3.24%。</w:t>
      </w:r>
    </w:p>
    <w:p>
      <w:pPr>
        <w:numPr>
          <w:ilvl w:val="0"/>
          <w:numId w:val="3"/>
        </w:numPr>
        <w:tabs>
          <w:tab w:val="left" w:pos="1162"/>
        </w:tabs>
        <w:ind w:left="420" w:leftChars="200" w:firstLine="321" w:firstLineChars="1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政府基金收支情况</w:t>
      </w:r>
    </w:p>
    <w:p>
      <w:pPr>
        <w:pStyle w:val="2"/>
        <w:numPr>
          <w:ilvl w:val="0"/>
          <w:numId w:val="0"/>
        </w:numPr>
        <w:ind w:firstLine="640" w:firstLineChars="200"/>
      </w:pPr>
      <w:r>
        <w:rPr>
          <w:rFonts w:hint="eastAsia" w:ascii="仿宋_GB2312" w:hAnsi="宋体" w:eastAsia="仿宋_GB2312" w:cs="仿宋_GB2312"/>
          <w:b w:val="0"/>
          <w:bCs w:val="0"/>
          <w:sz w:val="32"/>
          <w:szCs w:val="32"/>
          <w:lang w:val="en-US" w:eastAsia="zh-CN"/>
        </w:rPr>
        <w:t>无政府基金收支。</w:t>
      </w:r>
    </w:p>
    <w:p>
      <w:pPr>
        <w:numPr>
          <w:ilvl w:val="0"/>
          <w:numId w:val="4"/>
        </w:numPr>
        <w:ind w:left="420" w:leftChars="200" w:firstLine="643" w:firstLineChars="200"/>
        <w:jc w:val="left"/>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市供销社</w:t>
      </w:r>
      <w:r>
        <w:rPr>
          <w:rFonts w:hint="eastAsia" w:ascii="仿宋_GB2312" w:hAnsi="宋体" w:eastAsia="仿宋_GB2312" w:cs="仿宋_GB2312"/>
          <w:sz w:val="32"/>
          <w:szCs w:val="32"/>
        </w:rPr>
        <w:t>机关运行经费预算</w:t>
      </w:r>
      <w:r>
        <w:rPr>
          <w:rFonts w:hint="eastAsia" w:ascii="仿宋_GB2312" w:hAnsi="宋体" w:eastAsia="仿宋_GB2312" w:cs="仿宋_GB2312"/>
          <w:sz w:val="32"/>
          <w:szCs w:val="32"/>
          <w:lang w:val="en-US" w:eastAsia="zh-CN"/>
        </w:rPr>
        <w:t>82.86</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相比增加20%，主要原因是本年度部门预算新增人力资源费</w:t>
      </w:r>
      <w:r>
        <w:rPr>
          <w:rFonts w:hint="eastAsia" w:ascii="仿宋_GB2312" w:hAnsi="宋体" w:eastAsia="仿宋_GB2312" w:cs="仿宋_GB2312"/>
          <w:sz w:val="32"/>
          <w:szCs w:val="32"/>
        </w:rPr>
        <w:t>。</w:t>
      </w:r>
    </w:p>
    <w:p>
      <w:pPr>
        <w:numPr>
          <w:ilvl w:val="0"/>
          <w:numId w:val="0"/>
        </w:numPr>
        <w:ind w:leftChars="400"/>
        <w:rPr>
          <w:rFonts w:hint="eastAsia" w:ascii="仿宋_GB2312" w:hAnsi="宋体" w:eastAsia="仿宋_GB2312" w:cs="仿宋_GB2312"/>
          <w:b/>
          <w:bCs/>
          <w:sz w:val="32"/>
          <w:szCs w:val="32"/>
          <w:lang w:eastAsia="zh-CN"/>
        </w:rPr>
      </w:pPr>
    </w:p>
    <w:p>
      <w:pPr>
        <w:numPr>
          <w:ilvl w:val="0"/>
          <w:numId w:val="4"/>
        </w:numPr>
        <w:ind w:left="420" w:leftChars="200"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b w:val="0"/>
          <w:bCs w:val="0"/>
          <w:sz w:val="32"/>
          <w:szCs w:val="32"/>
          <w:lang w:val="en-US" w:eastAsia="zh-CN"/>
        </w:rPr>
        <w:t>2021年政府采购预算为10.00万元，均为货物类采购，其中：部门分散采购10.00万元，较上年度下降50.00%，主要原因是上年度单位搬迁，购置大量办公家具和办公设备。</w:t>
      </w:r>
    </w:p>
    <w:p>
      <w:pPr>
        <w:numPr>
          <w:ilvl w:val="0"/>
          <w:numId w:val="4"/>
        </w:numPr>
        <w:ind w:left="420" w:leftChars="200"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国有资产占用情况说明</w:t>
      </w:r>
    </w:p>
    <w:p>
      <w:pPr>
        <w:ind w:firstLine="630"/>
        <w:jc w:val="left"/>
        <w:rPr>
          <w:rFonts w:hint="eastAsia" w:ascii="仿宋_GB2312" w:hAnsi="宋体" w:eastAsia="仿宋_GB2312" w:cs="仿宋_GB2312"/>
          <w:b/>
          <w:bCs/>
          <w:sz w:val="32"/>
          <w:szCs w:val="32"/>
          <w:lang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2021年部门整体绩效目标</w:t>
      </w:r>
      <w:r>
        <w:rPr>
          <w:rFonts w:hint="eastAsia" w:ascii="仿宋_GB2312" w:eastAsia="仿宋_GB2312"/>
          <w:color w:val="000000"/>
          <w:sz w:val="32"/>
          <w:szCs w:val="30"/>
          <w:lang w:eastAsia="zh-CN"/>
        </w:rPr>
        <w:t>：</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目标1：农资库存储备总量4万吨</w:t>
      </w:r>
    </w:p>
    <w:p>
      <w:pPr>
        <w:pStyle w:val="2"/>
        <w:ind w:left="0" w:leftChars="0"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目标2：领导创办农民专业合作社增长率15%</w:t>
      </w:r>
    </w:p>
    <w:p>
      <w:pPr>
        <w:pStyle w:val="2"/>
        <w:ind w:left="0" w:leftChars="0"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目标3：促进乡村振兴</w:t>
      </w:r>
    </w:p>
    <w:p>
      <w:pPr>
        <w:pStyle w:val="2"/>
        <w:ind w:left="0" w:leftChars="0" w:firstLine="640" w:firstLineChars="200"/>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目标4：推进供销社综合改革工作</w:t>
      </w:r>
    </w:p>
    <w:p>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部门预算情况 </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收入合计617.80万元，其中本年财政安排617.80万元；支出预算合计617.80万元，其中人员经费514.94万元，公用经费82.86万元，项目经费20万元。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     万元，其中：二级项目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hint="eastAsia" w:ascii="仿宋_GB2312" w:eastAsia="仿宋_GB2312"/>
          <w:b/>
          <w:color w:val="000000"/>
          <w:sz w:val="32"/>
          <w:szCs w:val="30"/>
          <w:lang w:val="en-US" w:eastAsia="zh-CN"/>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）一级项目中各二级项目</w:t>
      </w:r>
      <w:r>
        <w:rPr>
          <w:rFonts w:hint="eastAsia" w:ascii="仿宋_GB2312" w:eastAsia="仿宋_GB2312"/>
          <w:b/>
          <w:color w:val="000000"/>
          <w:sz w:val="32"/>
          <w:szCs w:val="30"/>
          <w:lang w:val="en-US" w:eastAsia="zh-CN"/>
        </w:rPr>
        <w:t>无</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2021年市供销合作社</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较上年度6万元减少4万元，下降66.66%，主要是由于疫情原因本年度未安排因公出国费用。</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较上年度减少100%，由于疫情影响，本年度不作出入境安排；</w:t>
      </w:r>
    </w:p>
    <w:p>
      <w:pPr>
        <w:ind w:firstLine="960" w:firstLineChars="3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与上年一致；</w:t>
      </w:r>
    </w:p>
    <w:p>
      <w:pPr>
        <w:ind w:firstLine="960" w:firstLineChars="3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与上年一致。</w:t>
      </w:r>
    </w:p>
    <w:p>
      <w:pPr>
        <w:ind w:firstLine="640" w:firstLineChars="200"/>
        <w:rPr>
          <w:rFonts w:hint="eastAsia"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供销合作社</w:t>
      </w:r>
      <w:r>
        <w:rPr>
          <w:rFonts w:hint="eastAsia" w:ascii="黑体" w:hAnsi="宋体" w:eastAsia="黑体" w:cs="黑体"/>
          <w:sz w:val="32"/>
          <w:szCs w:val="32"/>
        </w:rPr>
        <w:t>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一般公共服务支出（类）财政事务（款）：反映财政事务方面的支出。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社会保障和就业支出（类）行政事业单位离退休（款）：反映用于行政事业单位离退休方面的支出。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为归口管理的行政单位离退休（项）：反映未实行归口管理的行政单位（包括实行公务员管理的事业单位）开支的离退休支出。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机关事业单位基本养老保险缴费支出（项）：反映机关事业单位实施养老保险制度由单位缴纳的基本养老保险支出。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机关事业单位职业年金缴费支出（项）：反映机关事业单位实施养老保险制度由单位缴纳的职业年金支出。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卫生健康支出（类）行政事业单位医疗（款）：反映行政事业单位医疗方面的支出。</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事业单位医疗（项）：反映财政部门安排的事业单位基本医疗保险缴费经费，未参加医疗保险的事业单位的公费医疗经费，按国家规定享受离休人员待遇的医疗经费。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公务员医疗补助（项）：反映财政部门安排的公务员医疗补助经费。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其他行政事业单位医疗支出（项）：反映除上述项目以外的其他用于行政事业单位医疗方面的支出。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住房保障支出（类）住房改革支出（款）：反映行政事业单位用财政拨款资金和其他资金等安排的住房改革支出。</w:t>
      </w:r>
    </w:p>
    <w:p>
      <w:pPr>
        <w:spacing w:line="600" w:lineRule="exact"/>
        <w:ind w:firstLine="640" w:firstLineChars="200"/>
        <w:rPr>
          <w:rFonts w:ascii="仿宋_GB2312" w:eastAsia="仿宋_GB2312" w:cs="Times New Roman"/>
          <w:sz w:val="32"/>
          <w:szCs w:val="32"/>
        </w:rPr>
      </w:pPr>
      <w:r>
        <w:rPr>
          <w:rFonts w:hint="eastAsia" w:ascii="仿宋" w:hAnsi="仿宋" w:eastAsia="仿宋"/>
          <w:sz w:val="32"/>
          <w:szCs w:val="32"/>
        </w:rPr>
        <w:t>住房公积金（项）：反映行政事业单位按人力资源和社会保障部、财政部规定的基本工资和津贴补贴以及规定比例为职工缴纳的住房公积金。</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528DB"/>
    <w:multiLevelType w:val="singleLevel"/>
    <w:tmpl w:val="941528DB"/>
    <w:lvl w:ilvl="0" w:tentative="0">
      <w:start w:val="2"/>
      <w:numFmt w:val="chineseCounting"/>
      <w:suff w:val="nothing"/>
      <w:lvlText w:val="%1、"/>
      <w:lvlJc w:val="left"/>
      <w:rPr>
        <w:rFonts w:hint="eastAsia"/>
      </w:rPr>
    </w:lvl>
  </w:abstractNum>
  <w:abstractNum w:abstractNumId="1">
    <w:nsid w:val="9C270A79"/>
    <w:multiLevelType w:val="singleLevel"/>
    <w:tmpl w:val="9C270A79"/>
    <w:lvl w:ilvl="0" w:tentative="0">
      <w:start w:val="2"/>
      <w:numFmt w:val="decimal"/>
      <w:suff w:val="nothing"/>
      <w:lvlText w:val="%1、"/>
      <w:lvlJc w:val="left"/>
    </w:lvl>
  </w:abstractNum>
  <w:abstractNum w:abstractNumId="2">
    <w:nsid w:val="415E84ED"/>
    <w:multiLevelType w:val="singleLevel"/>
    <w:tmpl w:val="415E84ED"/>
    <w:lvl w:ilvl="0" w:tentative="0">
      <w:start w:val="4"/>
      <w:numFmt w:val="chineseCounting"/>
      <w:suff w:val="nothing"/>
      <w:lvlText w:val="（%1）"/>
      <w:lvlJc w:val="left"/>
      <w:rPr>
        <w:rFonts w:hint="eastAsia"/>
      </w:rPr>
    </w:lvl>
  </w:abstractNum>
  <w:abstractNum w:abstractNumId="3">
    <w:nsid w:val="59B6384E"/>
    <w:multiLevelType w:val="singleLevel"/>
    <w:tmpl w:val="59B6384E"/>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84536F"/>
    <w:rsid w:val="00B358C5"/>
    <w:rsid w:val="00C04C9A"/>
    <w:rsid w:val="00CB427A"/>
    <w:rsid w:val="00F500B9"/>
    <w:rsid w:val="01992CBB"/>
    <w:rsid w:val="01C03FFE"/>
    <w:rsid w:val="022502CD"/>
    <w:rsid w:val="059E5D60"/>
    <w:rsid w:val="05EB1609"/>
    <w:rsid w:val="08EE0B31"/>
    <w:rsid w:val="0A326819"/>
    <w:rsid w:val="0CBF216E"/>
    <w:rsid w:val="0FC33CC6"/>
    <w:rsid w:val="0FCB58D0"/>
    <w:rsid w:val="101C08F0"/>
    <w:rsid w:val="11427CB1"/>
    <w:rsid w:val="139E3D52"/>
    <w:rsid w:val="162B4B72"/>
    <w:rsid w:val="163E4749"/>
    <w:rsid w:val="16874BC3"/>
    <w:rsid w:val="18AC060B"/>
    <w:rsid w:val="19076E1D"/>
    <w:rsid w:val="1B8A09E9"/>
    <w:rsid w:val="1E7A6290"/>
    <w:rsid w:val="1EBD751D"/>
    <w:rsid w:val="1F117155"/>
    <w:rsid w:val="202F1DE6"/>
    <w:rsid w:val="204B45CE"/>
    <w:rsid w:val="22C1622C"/>
    <w:rsid w:val="22DF4A38"/>
    <w:rsid w:val="25705B71"/>
    <w:rsid w:val="260739F4"/>
    <w:rsid w:val="27E316EB"/>
    <w:rsid w:val="282F055D"/>
    <w:rsid w:val="294A0A98"/>
    <w:rsid w:val="2B1E1F93"/>
    <w:rsid w:val="2DBB222D"/>
    <w:rsid w:val="2E3C083B"/>
    <w:rsid w:val="2E7D0A0D"/>
    <w:rsid w:val="31D40AAE"/>
    <w:rsid w:val="381119B2"/>
    <w:rsid w:val="3B641913"/>
    <w:rsid w:val="3BA24FC1"/>
    <w:rsid w:val="3BD871B8"/>
    <w:rsid w:val="3CF55A87"/>
    <w:rsid w:val="40DD52F7"/>
    <w:rsid w:val="429A727D"/>
    <w:rsid w:val="4322216B"/>
    <w:rsid w:val="447248C1"/>
    <w:rsid w:val="46BE4749"/>
    <w:rsid w:val="4C0B38BC"/>
    <w:rsid w:val="4C0B7195"/>
    <w:rsid w:val="4D3B293C"/>
    <w:rsid w:val="4F406BE2"/>
    <w:rsid w:val="51B40312"/>
    <w:rsid w:val="525E07A9"/>
    <w:rsid w:val="53345A65"/>
    <w:rsid w:val="53AA6B66"/>
    <w:rsid w:val="54D304B9"/>
    <w:rsid w:val="54DF42F8"/>
    <w:rsid w:val="57BA064E"/>
    <w:rsid w:val="57CC144D"/>
    <w:rsid w:val="58C84E3E"/>
    <w:rsid w:val="5B2073D3"/>
    <w:rsid w:val="5F514C39"/>
    <w:rsid w:val="606233B6"/>
    <w:rsid w:val="62B20F12"/>
    <w:rsid w:val="641E7445"/>
    <w:rsid w:val="68237508"/>
    <w:rsid w:val="6A787405"/>
    <w:rsid w:val="6BAC43F8"/>
    <w:rsid w:val="70F853F5"/>
    <w:rsid w:val="71452C49"/>
    <w:rsid w:val="72791D02"/>
    <w:rsid w:val="73224148"/>
    <w:rsid w:val="76123038"/>
    <w:rsid w:val="77196280"/>
    <w:rsid w:val="772860B1"/>
    <w:rsid w:val="77315994"/>
    <w:rsid w:val="7A816E02"/>
    <w:rsid w:val="7B4102B0"/>
    <w:rsid w:val="7C3B22C7"/>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2924</Words>
  <Characters>3150</Characters>
  <Lines>3</Lines>
  <Paragraphs>5</Paragraphs>
  <TotalTime>48</TotalTime>
  <ScaleCrop>false</ScaleCrop>
  <LinksUpToDate>false</LinksUpToDate>
  <CharactersWithSpaces>3243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2022-10-27T08:29:31Z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C9620BEEF4D143338BC36E947AF4EF2E</vt:lpwstr>
  </property>
</Properties>
</file>