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1" w:lineRule="exact"/>
        <w:ind w:left="744"/>
        <w:rPr>
          <w:b/>
          <w:sz w:val="36"/>
        </w:rPr>
      </w:pPr>
      <w:bookmarkStart w:id="0" w:name="_GoBack"/>
      <w:bookmarkEnd w:id="0"/>
      <w:r>
        <w:rPr>
          <w:rFonts w:hint="eastAsia"/>
          <w:b/>
          <w:sz w:val="36"/>
        </w:rPr>
        <w:t xml:space="preserve">景德镇市政府驻北京联络处 </w:t>
      </w:r>
      <w:r>
        <w:rPr>
          <w:b/>
          <w:sz w:val="36"/>
        </w:rPr>
        <w:t xml:space="preserve">2021 </w:t>
      </w:r>
      <w:r>
        <w:rPr>
          <w:rFonts w:hint="eastAsia"/>
          <w:b/>
          <w:sz w:val="36"/>
        </w:rPr>
        <w:t>年部门预算</w:t>
      </w:r>
    </w:p>
    <w:p>
      <w:pPr>
        <w:pStyle w:val="2"/>
        <w:spacing w:before="1"/>
        <w:ind w:left="0"/>
        <w:rPr>
          <w:rFonts w:hint="eastAsia"/>
          <w:b/>
          <w:sz w:val="31"/>
          <w:lang w:eastAsia="zh-CN"/>
        </w:rPr>
      </w:pPr>
    </w:p>
    <w:p>
      <w:pPr>
        <w:tabs>
          <w:tab w:val="left" w:pos="1207"/>
        </w:tabs>
        <w:ind w:right="1"/>
        <w:jc w:val="center"/>
        <w:rPr>
          <w:b/>
          <w:sz w:val="36"/>
          <w:szCs w:val="36"/>
        </w:rPr>
      </w:pPr>
      <w:r>
        <w:rPr>
          <w:rFonts w:hint="eastAsia"/>
          <w:b/>
          <w:sz w:val="36"/>
          <w:szCs w:val="36"/>
        </w:rPr>
        <w:t>目</w:t>
      </w:r>
      <w:r>
        <w:rPr>
          <w:rFonts w:hint="eastAsia"/>
          <w:b/>
          <w:sz w:val="36"/>
          <w:szCs w:val="36"/>
        </w:rPr>
        <w:tab/>
      </w:r>
      <w:r>
        <w:rPr>
          <w:rFonts w:hint="eastAsia"/>
          <w:b/>
          <w:sz w:val="36"/>
          <w:szCs w:val="36"/>
        </w:rPr>
        <w:t>录</w:t>
      </w:r>
    </w:p>
    <w:p>
      <w:pPr>
        <w:pStyle w:val="2"/>
        <w:spacing w:before="135"/>
        <w:ind w:left="760"/>
        <w:rPr>
          <w:lang w:eastAsia="zh-CN"/>
        </w:rPr>
      </w:pPr>
      <w:r>
        <w:rPr>
          <w:rFonts w:hint="eastAsia"/>
        </w:rPr>
        <w:t>第一部分 景德镇市政府驻北京联络处概况</w:t>
      </w:r>
    </w:p>
    <w:p>
      <w:pPr>
        <w:pStyle w:val="2"/>
        <w:spacing w:before="241"/>
        <w:ind w:left="1400"/>
        <w:rPr>
          <w:rFonts w:hint="eastAsia"/>
          <w:lang w:eastAsia="zh-CN"/>
        </w:rPr>
      </w:pPr>
      <w:r>
        <w:t>一、</w:t>
      </w:r>
      <w:r>
        <w:rPr>
          <w:rFonts w:hint="eastAsia"/>
          <w:lang w:eastAsia="zh-CN"/>
        </w:rPr>
        <w:t>部门主要职责</w:t>
      </w:r>
    </w:p>
    <w:p>
      <w:pPr>
        <w:pStyle w:val="2"/>
        <w:spacing w:before="241"/>
        <w:ind w:left="1400"/>
      </w:pPr>
      <w:r>
        <w:t>二、部门机构设置情况</w:t>
      </w:r>
    </w:p>
    <w:p>
      <w:pPr>
        <w:pStyle w:val="2"/>
        <w:spacing w:before="241"/>
        <w:ind w:left="760"/>
      </w:pPr>
      <w:r>
        <w:rPr>
          <w:rFonts w:hint="eastAsia"/>
          <w:spacing w:val="-5"/>
        </w:rPr>
        <w:t xml:space="preserve">第二部分 景德镇市政府驻北京联络处 </w:t>
      </w:r>
      <w:r>
        <w:rPr>
          <w:rFonts w:hint="eastAsia"/>
        </w:rPr>
        <w:t>2021</w:t>
      </w:r>
      <w:r>
        <w:rPr>
          <w:rFonts w:hint="eastAsia"/>
          <w:spacing w:val="-16"/>
        </w:rPr>
        <w:t>年部门预算</w:t>
      </w:r>
    </w:p>
    <w:p>
      <w:pPr>
        <w:pStyle w:val="2"/>
        <w:spacing w:before="4"/>
        <w:ind w:left="0"/>
      </w:pPr>
    </w:p>
    <w:p>
      <w:pPr>
        <w:rPr>
          <w:sz w:val="32"/>
          <w:szCs w:val="32"/>
        </w:rPr>
        <w:sectPr>
          <w:footerReference r:id="rId3" w:type="default"/>
          <w:type w:val="continuous"/>
          <w:pgSz w:w="11900" w:h="16840"/>
          <w:pgMar w:top="1420" w:right="1680" w:bottom="1160" w:left="1680" w:header="720" w:footer="975" w:gutter="0"/>
          <w:pgNumType w:start="1"/>
          <w:cols w:space="720" w:num="1"/>
        </w:sectPr>
      </w:pPr>
    </w:p>
    <w:p>
      <w:pPr>
        <w:pStyle w:val="2"/>
        <w:spacing w:before="1"/>
      </w:pPr>
      <w:r>
        <w:rPr>
          <w:rFonts w:hint="eastAsia"/>
        </w:rPr>
        <w:t>情况说明</w:t>
      </w:r>
    </w:p>
    <w:p>
      <w:pPr>
        <w:pStyle w:val="2"/>
        <w:spacing w:before="10"/>
        <w:ind w:left="0"/>
      </w:pPr>
      <w:r>
        <w:br w:type="column"/>
      </w:r>
    </w:p>
    <w:p>
      <w:pPr>
        <w:pStyle w:val="2"/>
        <w:spacing w:before="1" w:line="360" w:lineRule="auto"/>
        <w:ind w:left="54"/>
      </w:pPr>
      <w:r>
        <w:t>一、2021 年部门预算收支情况说明</w:t>
      </w:r>
    </w:p>
    <w:p>
      <w:pPr>
        <w:pStyle w:val="2"/>
        <w:spacing w:before="41" w:line="360" w:lineRule="auto"/>
        <w:ind w:left="119"/>
      </w:pPr>
      <w:r>
        <w:t>1、预算收入情况说明</w:t>
      </w:r>
    </w:p>
    <w:p>
      <w:pPr>
        <w:pStyle w:val="2"/>
        <w:spacing w:line="360" w:lineRule="auto"/>
        <w:ind w:left="119"/>
      </w:pPr>
      <w:r>
        <w:t>2、预算支出情况说明</w:t>
      </w:r>
    </w:p>
    <w:p>
      <w:pPr>
        <w:pStyle w:val="2"/>
        <w:spacing w:line="360" w:lineRule="auto"/>
        <w:ind w:left="119"/>
      </w:pPr>
      <w:r>
        <w:t>3、经费拨款情况说明</w:t>
      </w:r>
    </w:p>
    <w:p>
      <w:pPr>
        <w:pStyle w:val="2"/>
        <w:spacing w:line="360" w:lineRule="auto"/>
        <w:ind w:left="119"/>
      </w:pPr>
      <w:r>
        <w:t>4、机关运行经费情况说明</w:t>
      </w:r>
    </w:p>
    <w:p>
      <w:pPr>
        <w:pStyle w:val="2"/>
        <w:spacing w:line="360" w:lineRule="auto"/>
        <w:ind w:left="119"/>
      </w:pPr>
      <w:r>
        <w:t>5、政府采购安排情况说明</w:t>
      </w:r>
    </w:p>
    <w:p>
      <w:pPr>
        <w:pStyle w:val="2"/>
        <w:spacing w:line="360" w:lineRule="auto"/>
        <w:ind w:left="119"/>
      </w:pPr>
      <w:r>
        <w:t>6、政府性基金收支情况说明</w:t>
      </w:r>
    </w:p>
    <w:p>
      <w:pPr>
        <w:pStyle w:val="2"/>
        <w:spacing w:line="360" w:lineRule="auto"/>
        <w:ind w:left="119"/>
      </w:pPr>
      <w:r>
        <w:t>7、国有资产占用情况说明</w:t>
      </w:r>
    </w:p>
    <w:p>
      <w:pPr>
        <w:pStyle w:val="2"/>
        <w:spacing w:line="360" w:lineRule="auto"/>
        <w:ind w:left="119"/>
      </w:pPr>
      <w:r>
        <w:t>8、预算绩效情况说明</w:t>
      </w:r>
    </w:p>
    <w:p>
      <w:pPr>
        <w:spacing w:line="417" w:lineRule="exact"/>
        <w:rPr>
          <w:sz w:val="32"/>
          <w:szCs w:val="32"/>
        </w:rPr>
        <w:sectPr>
          <w:type w:val="continuous"/>
          <w:pgSz w:w="11900" w:h="16840"/>
          <w:pgMar w:top="1420" w:right="1680" w:bottom="1160" w:left="1680" w:header="720" w:footer="720" w:gutter="0"/>
          <w:cols w:equalWidth="0" w:num="2">
            <w:col w:w="1401" w:space="40"/>
            <w:col w:w="7099"/>
          </w:cols>
        </w:sectPr>
      </w:pPr>
    </w:p>
    <w:p>
      <w:pPr>
        <w:pStyle w:val="2"/>
        <w:spacing w:before="85"/>
        <w:ind w:left="1269"/>
      </w:pPr>
      <w:r>
        <w:t>二、2021 年三公经费增减变化原因等说明</w:t>
      </w:r>
    </w:p>
    <w:p>
      <w:pPr>
        <w:pStyle w:val="2"/>
        <w:spacing w:before="243"/>
        <w:ind w:left="760"/>
      </w:pPr>
      <w:r>
        <w:rPr>
          <w:rFonts w:hint="eastAsia"/>
          <w:spacing w:val="-5"/>
        </w:rPr>
        <w:t xml:space="preserve">第三部分 景德镇市政府驻北京联络处 </w:t>
      </w:r>
      <w:r>
        <w:rPr>
          <w:rFonts w:hint="eastAsia"/>
        </w:rPr>
        <w:t>2021</w:t>
      </w:r>
      <w:r>
        <w:rPr>
          <w:rFonts w:hint="eastAsia"/>
          <w:spacing w:val="-16"/>
        </w:rPr>
        <w:t xml:space="preserve"> 年部门预算</w:t>
      </w:r>
    </w:p>
    <w:p>
      <w:pPr>
        <w:pStyle w:val="2"/>
        <w:spacing w:before="3"/>
        <w:ind w:left="0"/>
      </w:pPr>
    </w:p>
    <w:p>
      <w:pPr>
        <w:pStyle w:val="2"/>
        <w:spacing w:before="2"/>
        <w:rPr>
          <w:rFonts w:hint="eastAsia"/>
          <w:lang w:eastAsia="zh-CN"/>
        </w:rPr>
      </w:pPr>
      <w:r>
        <w:rPr>
          <w:rFonts w:hint="eastAsia"/>
        </w:rPr>
        <w:t>表</w:t>
      </w:r>
    </w:p>
    <w:p>
      <w:pPr>
        <w:pStyle w:val="2"/>
        <w:spacing w:before="1" w:line="379" w:lineRule="auto"/>
        <w:ind w:left="1400" w:right="4099"/>
        <w:jc w:val="both"/>
        <w:rPr>
          <w:rFonts w:hint="eastAsia"/>
          <w:lang w:eastAsia="zh-CN"/>
        </w:rPr>
      </w:pPr>
      <w:r>
        <w:rPr>
          <w:spacing w:val="-18"/>
        </w:rPr>
        <w:t>一、《收支预算总表》</w:t>
      </w:r>
      <w:r>
        <w:rPr>
          <w:spacing w:val="-19"/>
        </w:rPr>
        <w:t>二、《部门收入总表》三、《部门支出总表》</w:t>
      </w:r>
    </w:p>
    <w:p>
      <w:pPr>
        <w:pStyle w:val="2"/>
        <w:spacing w:line="379" w:lineRule="auto"/>
        <w:ind w:left="1400" w:right="3167"/>
      </w:pPr>
      <w:r>
        <w:rPr>
          <w:spacing w:val="-16"/>
        </w:rPr>
        <w:t>四、《财政拨款收支总表》 五、《一般公共预算支出表》</w:t>
      </w:r>
    </w:p>
    <w:p>
      <w:pPr>
        <w:pStyle w:val="2"/>
        <w:spacing w:before="61"/>
        <w:ind w:left="1400"/>
      </w:pPr>
      <w:r>
        <w:t>六、《一般公共预算基本支出表》</w:t>
      </w:r>
    </w:p>
    <w:p>
      <w:pPr>
        <w:pStyle w:val="2"/>
        <w:spacing w:line="360" w:lineRule="auto"/>
        <w:ind w:left="1400" w:right="1210"/>
      </w:pPr>
      <w:r>
        <w:rPr>
          <w:spacing w:val="-19"/>
        </w:rPr>
        <w:t>七、《一般公共预算</w:t>
      </w:r>
      <w:r>
        <w:rPr>
          <w:rFonts w:hint="eastAsia"/>
        </w:rPr>
        <w:t>“</w:t>
      </w:r>
      <w:r>
        <w:t>三公</w:t>
      </w:r>
      <w:r>
        <w:rPr>
          <w:rFonts w:hint="eastAsia"/>
        </w:rPr>
        <w:t>”</w:t>
      </w:r>
      <w:r>
        <w:t>经费支出表》</w:t>
      </w:r>
      <w:r>
        <w:rPr>
          <w:spacing w:val="-14"/>
        </w:rPr>
        <w:t>八、《政府性基金预算支出表》</w:t>
      </w:r>
    </w:p>
    <w:p>
      <w:pPr>
        <w:pStyle w:val="2"/>
        <w:spacing w:before="79" w:line="360" w:lineRule="auto"/>
        <w:ind w:left="1400" w:right="2891"/>
        <w:rPr>
          <w:spacing w:val="-15"/>
        </w:rPr>
      </w:pPr>
      <w:r>
        <w:rPr>
          <w:spacing w:val="-15"/>
        </w:rPr>
        <w:t>九、《部门整体绩效目标表》十、《一级项目绩效目标表》</w:t>
      </w:r>
    </w:p>
    <w:p>
      <w:pPr>
        <w:pStyle w:val="2"/>
        <w:spacing w:before="160"/>
        <w:ind w:left="0" w:firstLine="800" w:firstLineChars="250"/>
        <w:rPr>
          <w:rFonts w:hint="eastAsia"/>
          <w:lang w:eastAsia="zh-CN"/>
        </w:rPr>
        <w:sectPr>
          <w:type w:val="continuous"/>
          <w:pgSz w:w="11900" w:h="16840"/>
          <w:pgMar w:top="1420" w:right="1680" w:bottom="1160" w:left="1680" w:header="720" w:footer="720" w:gutter="0"/>
          <w:cols w:space="720" w:num="1"/>
        </w:sectPr>
      </w:pPr>
      <w:r>
        <w:rPr>
          <w:rFonts w:hint="eastAsia"/>
        </w:rPr>
        <w:t>第四部分 名词解释</w:t>
      </w:r>
    </w:p>
    <w:p>
      <w:pPr>
        <w:pStyle w:val="2"/>
        <w:tabs>
          <w:tab w:val="left" w:pos="1719"/>
        </w:tabs>
        <w:spacing w:before="37" w:line="345" w:lineRule="exact"/>
        <w:jc w:val="center"/>
        <w:rPr>
          <w:b/>
        </w:rPr>
      </w:pPr>
      <w:r>
        <w:rPr>
          <w:rFonts w:hint="eastAsia"/>
          <w:b/>
        </w:rPr>
        <w:t>第一部分</w:t>
      </w:r>
      <w:r>
        <w:rPr>
          <w:rFonts w:hint="eastAsia"/>
          <w:b/>
        </w:rPr>
        <w:tab/>
      </w:r>
      <w:r>
        <w:rPr>
          <w:rFonts w:hint="eastAsia"/>
          <w:b/>
        </w:rPr>
        <w:t>景德镇市政府驻北京联络处概况</w:t>
      </w:r>
    </w:p>
    <w:p>
      <w:pPr>
        <w:pStyle w:val="8"/>
        <w:spacing w:line="546" w:lineRule="exact"/>
        <w:ind w:left="750"/>
        <w:rPr>
          <w:rFonts w:ascii="仿宋" w:hAnsi="仿宋" w:eastAsia="仿宋"/>
        </w:rPr>
      </w:pPr>
      <w:r>
        <w:rPr>
          <w:rFonts w:ascii="仿宋" w:hAnsi="仿宋" w:eastAsia="仿宋"/>
        </w:rPr>
        <w:t>一、部门主要职责</w:t>
      </w:r>
    </w:p>
    <w:p>
      <w:pPr>
        <w:pStyle w:val="2"/>
        <w:spacing w:before="126" w:line="367" w:lineRule="auto"/>
        <w:ind w:right="419" w:firstLine="640"/>
        <w:jc w:val="both"/>
      </w:pPr>
      <w:r>
        <w:t>（一）承担市委、市政府委托的工作，为本地区经济社会发展服务；负责我市在京的重大政务，经济活动联络协调和后勤服务工作。为本地区基层组织、社会组织和群众在京活动提供相关服务。</w:t>
      </w:r>
    </w:p>
    <w:p>
      <w:pPr>
        <w:pStyle w:val="2"/>
        <w:spacing w:before="51" w:line="367" w:lineRule="auto"/>
        <w:ind w:right="419" w:firstLine="640"/>
      </w:pPr>
      <w:r>
        <w:t>（二）配合北京市做好维护首都稳定的有关工作，协助市有关部门做好我市赴京上访人员的信访劝返维稳工 作。</w:t>
      </w:r>
    </w:p>
    <w:p>
      <w:pPr>
        <w:pStyle w:val="2"/>
        <w:spacing w:before="51" w:line="367" w:lineRule="auto"/>
        <w:ind w:right="419" w:firstLine="640"/>
        <w:jc w:val="both"/>
      </w:pPr>
      <w:r>
        <w:t>（三）发挥宣传景德镇窗口和前哨作用，宣传景德镇历史名胜古迹、陶瓷文化和经济建设取得的成绩，扩大景德镇在北京乃至国内外的影响和知名度。</w:t>
      </w:r>
    </w:p>
    <w:p>
      <w:pPr>
        <w:pStyle w:val="2"/>
        <w:spacing w:before="51" w:line="367" w:lineRule="auto"/>
        <w:ind w:right="419" w:firstLine="640"/>
        <w:jc w:val="both"/>
        <w:rPr>
          <w:rFonts w:hint="eastAsia"/>
          <w:lang w:eastAsia="zh-CN"/>
        </w:rPr>
      </w:pPr>
      <w:r>
        <w:t>（四）发挥信息网络作用，收集对景德镇市经济发展有参考价值的重要经济信息和发展动态，为市领导决策提供服务。</w:t>
      </w:r>
    </w:p>
    <w:p>
      <w:pPr>
        <w:pStyle w:val="2"/>
        <w:spacing w:line="397" w:lineRule="exact"/>
        <w:ind w:left="0" w:firstLine="800" w:firstLineChars="250"/>
      </w:pPr>
      <w:r>
        <w:rPr>
          <w:rFonts w:hint="eastAsia"/>
          <w:lang w:eastAsia="zh-CN"/>
        </w:rPr>
        <w:t>（</w:t>
      </w:r>
      <w:r>
        <w:t>五）协助党组织做好本地区在京活动流动党员的教</w:t>
      </w:r>
    </w:p>
    <w:p>
      <w:pPr>
        <w:pStyle w:val="2"/>
        <w:spacing w:before="221" w:line="364" w:lineRule="exact"/>
        <w:rPr>
          <w:rFonts w:hint="eastAsia"/>
          <w:lang w:eastAsia="zh-CN"/>
        </w:rPr>
        <w:sectPr>
          <w:pgSz w:w="11900" w:h="16840"/>
          <w:pgMar w:top="1600" w:right="1680" w:bottom="1160" w:left="1680" w:header="0" w:footer="975" w:gutter="0"/>
          <w:cols w:space="720" w:num="1"/>
        </w:sectPr>
      </w:pPr>
      <w:r>
        <w:t>育管理服务工作。</w:t>
      </w:r>
    </w:p>
    <w:p>
      <w:pPr>
        <w:pStyle w:val="2"/>
        <w:spacing w:line="397" w:lineRule="exact"/>
        <w:ind w:left="0"/>
        <w:rPr>
          <w:rFonts w:hint="eastAsia"/>
          <w:lang w:eastAsia="zh-CN"/>
        </w:rPr>
      </w:pPr>
    </w:p>
    <w:p>
      <w:pPr>
        <w:pStyle w:val="8"/>
        <w:spacing w:line="360" w:lineRule="auto"/>
        <w:ind w:left="0"/>
        <w:rPr>
          <w:rFonts w:ascii="仿宋" w:hAnsi="仿宋" w:eastAsia="仿宋"/>
        </w:rPr>
      </w:pPr>
      <w:r>
        <w:rPr>
          <w:rFonts w:ascii="仿宋" w:hAnsi="仿宋" w:eastAsia="仿宋"/>
        </w:rPr>
        <w:t>二、部门机构设置情况</w:t>
      </w:r>
    </w:p>
    <w:p>
      <w:pPr>
        <w:spacing w:line="360" w:lineRule="auto"/>
        <w:ind w:left="120" w:firstLine="630"/>
        <w:rPr>
          <w:sz w:val="32"/>
          <w:szCs w:val="32"/>
        </w:rPr>
      </w:pPr>
      <w:r>
        <w:rPr>
          <w:sz w:val="32"/>
          <w:szCs w:val="32"/>
        </w:rPr>
        <w:t>景德镇市政府驻北京联络处纳入本套部门预算汇编范围的</w:t>
      </w:r>
    </w:p>
    <w:p>
      <w:pPr>
        <w:spacing w:line="360" w:lineRule="auto"/>
        <w:ind w:left="120"/>
        <w:rPr>
          <w:sz w:val="32"/>
          <w:szCs w:val="32"/>
        </w:rPr>
      </w:pPr>
      <w:r>
        <w:rPr>
          <w:sz w:val="32"/>
          <w:szCs w:val="32"/>
        </w:rPr>
        <w:t>单位共 1 个。本部门共有预算单位 1 个，即部门本级。编制</w:t>
      </w:r>
    </w:p>
    <w:p>
      <w:pPr>
        <w:pStyle w:val="2"/>
        <w:spacing w:line="360" w:lineRule="auto"/>
      </w:pPr>
      <w:r>
        <w:t>数为 8 人，其中参照公务员管理事业编制 4 人、全额补助</w:t>
      </w:r>
    </w:p>
    <w:p>
      <w:pPr>
        <w:pStyle w:val="2"/>
        <w:spacing w:line="360" w:lineRule="auto"/>
      </w:pPr>
      <w:r>
        <w:t>事业编制 4 人，实有人数 1 人，其中在职 9 人，包括行政</w:t>
      </w:r>
    </w:p>
    <w:p>
      <w:pPr>
        <w:pStyle w:val="2"/>
        <w:spacing w:line="360" w:lineRule="auto"/>
      </w:pPr>
      <w:r>
        <w:t>4 人、参照公务员管理 1 人、全额补助 4 人;退休 2 人。</w:t>
      </w:r>
    </w:p>
    <w:p>
      <w:pPr>
        <w:pStyle w:val="2"/>
        <w:spacing w:before="39" w:line="360" w:lineRule="auto"/>
        <w:ind w:right="413"/>
        <w:rPr>
          <w:b/>
          <w:lang w:eastAsia="zh-CN"/>
        </w:rPr>
      </w:pPr>
      <w:r>
        <w:rPr>
          <w:rFonts w:hint="eastAsia"/>
          <w:b/>
          <w:spacing w:val="-5"/>
        </w:rPr>
        <w:t xml:space="preserve">第二部分 景德镇市政府驻北京联络处 </w:t>
      </w:r>
      <w:r>
        <w:rPr>
          <w:rFonts w:hint="eastAsia"/>
          <w:b/>
        </w:rPr>
        <w:t>2021</w:t>
      </w:r>
      <w:r>
        <w:rPr>
          <w:rFonts w:hint="eastAsia"/>
          <w:b/>
          <w:spacing w:val="-13"/>
        </w:rPr>
        <w:t xml:space="preserve"> 年部门预算情况说明</w:t>
      </w:r>
    </w:p>
    <w:p>
      <w:pPr>
        <w:pStyle w:val="8"/>
        <w:spacing w:line="360" w:lineRule="auto"/>
        <w:rPr>
          <w:rFonts w:ascii="仿宋" w:hAnsi="仿宋" w:eastAsia="仿宋"/>
        </w:rPr>
      </w:pPr>
      <w:r>
        <w:rPr>
          <w:rFonts w:ascii="仿宋" w:hAnsi="仿宋" w:eastAsia="仿宋"/>
          <w:w w:val="95"/>
        </w:rPr>
        <w:t>一、2021  年部门预算收支情况说明</w:t>
      </w:r>
    </w:p>
    <w:p>
      <w:pPr>
        <w:spacing w:line="360" w:lineRule="auto"/>
        <w:ind w:left="602"/>
        <w:rPr>
          <w:b/>
          <w:sz w:val="32"/>
          <w:szCs w:val="32"/>
        </w:rPr>
      </w:pPr>
      <w:r>
        <w:rPr>
          <w:rFonts w:hint="eastAsia"/>
          <w:b/>
          <w:sz w:val="32"/>
          <w:szCs w:val="32"/>
        </w:rPr>
        <w:t>（一）预算收入情况</w:t>
      </w:r>
    </w:p>
    <w:p>
      <w:pPr>
        <w:pStyle w:val="2"/>
        <w:spacing w:before="62" w:line="360" w:lineRule="auto"/>
        <w:ind w:left="760"/>
      </w:pPr>
      <w:r>
        <w:t>2021 年景德镇市政府驻北京联络处收入预算总额247.28</w:t>
      </w:r>
    </w:p>
    <w:p>
      <w:pPr>
        <w:pStyle w:val="2"/>
        <w:spacing w:before="141" w:line="360" w:lineRule="auto"/>
        <w:ind w:left="0"/>
      </w:pPr>
      <w:r>
        <w:rPr>
          <w:rFonts w:hint="eastAsia"/>
          <w:lang w:eastAsia="zh-CN"/>
        </w:rPr>
        <w:t>万</w:t>
      </w:r>
      <w:r>
        <w:t>元</w:t>
      </w:r>
      <w:r>
        <w:rPr>
          <w:rFonts w:hint="eastAsia"/>
          <w:lang w:eastAsia="zh-CN"/>
        </w:rPr>
        <w:t>，比上少预算减少209.66万元。主要原因：过紧日子，节约单位预算支出。</w:t>
      </w:r>
      <w:r>
        <w:t>按照收入来源划分当年公共财政拨款收入247.28 万元，占收入预算总额的 100%。</w:t>
      </w:r>
    </w:p>
    <w:p>
      <w:pPr>
        <w:pStyle w:val="8"/>
        <w:spacing w:line="360" w:lineRule="auto"/>
        <w:ind w:left="602"/>
        <w:rPr>
          <w:rFonts w:ascii="仿宋" w:hAnsi="仿宋" w:eastAsia="仿宋"/>
        </w:rPr>
      </w:pPr>
      <w:r>
        <w:rPr>
          <w:rFonts w:ascii="仿宋" w:hAnsi="仿宋" w:eastAsia="仿宋"/>
        </w:rPr>
        <w:t>（二</w:t>
      </w:r>
      <w:r>
        <w:rPr>
          <w:rFonts w:hint="eastAsia" w:ascii="仿宋" w:hAnsi="仿宋" w:eastAsia="仿宋"/>
          <w:lang w:eastAsia="zh-CN"/>
        </w:rPr>
        <w:t>）</w:t>
      </w:r>
      <w:r>
        <w:rPr>
          <w:rFonts w:ascii="仿宋" w:hAnsi="仿宋" w:eastAsia="仿宋"/>
        </w:rPr>
        <w:t>预算支出情况</w:t>
      </w:r>
    </w:p>
    <w:p>
      <w:pPr>
        <w:pStyle w:val="2"/>
        <w:spacing w:line="360" w:lineRule="auto"/>
        <w:ind w:left="760"/>
      </w:pPr>
      <w:r>
        <w:t>2021 年景德镇市政府驻北京联络处支出预算总额247.28</w:t>
      </w:r>
    </w:p>
    <w:p>
      <w:pPr>
        <w:pStyle w:val="2"/>
        <w:spacing w:before="39" w:line="360" w:lineRule="auto"/>
        <w:ind w:left="0"/>
      </w:pPr>
      <w:r>
        <w:rPr>
          <w:spacing w:val="-4"/>
        </w:rPr>
        <w:t>万元</w:t>
      </w:r>
      <w:r>
        <w:rPr>
          <w:rFonts w:hint="eastAsia"/>
          <w:spacing w:val="-4"/>
          <w:lang w:eastAsia="zh-CN"/>
        </w:rPr>
        <w:t>，</w:t>
      </w:r>
      <w:r>
        <w:rPr>
          <w:spacing w:val="-4"/>
        </w:rPr>
        <w:t xml:space="preserve">按支出项目类别划分:基本支出 </w:t>
      </w:r>
      <w:r>
        <w:t>247.28</w:t>
      </w:r>
      <w:r>
        <w:rPr>
          <w:spacing w:val="-13"/>
        </w:rPr>
        <w:t>万元，</w:t>
      </w:r>
      <w:r>
        <w:rPr>
          <w:spacing w:val="-1"/>
        </w:rPr>
        <w:t>占支出预算总额的</w:t>
      </w:r>
      <w:r>
        <w:rPr>
          <w:spacing w:val="5"/>
        </w:rPr>
        <w:t>100</w:t>
      </w:r>
      <w:r>
        <w:t>％，其中:工资福利支出 216.10</w:t>
      </w:r>
      <w:r>
        <w:rPr>
          <w:spacing w:val="-22"/>
        </w:rPr>
        <w:t xml:space="preserve"> 万元</w:t>
      </w:r>
      <w:r>
        <w:rPr>
          <w:spacing w:val="-14"/>
        </w:rPr>
        <w:t>，商品和服务支出</w:t>
      </w:r>
      <w:r>
        <w:t>30.94</w:t>
      </w:r>
      <w:r>
        <w:rPr>
          <w:spacing w:val="-8"/>
        </w:rPr>
        <w:t xml:space="preserve"> 万元，对个人和家庭的补助</w:t>
      </w:r>
      <w:r>
        <w:t>0.24万元。</w:t>
      </w:r>
    </w:p>
    <w:p>
      <w:pPr>
        <w:pStyle w:val="2"/>
        <w:spacing w:line="360" w:lineRule="auto"/>
        <w:ind w:firstLine="640" w:firstLineChars="200"/>
        <w:jc w:val="both"/>
      </w:pPr>
      <w:r>
        <w:t>按支出功能项目科目划分：一般公共服务支出 203.20</w:t>
      </w:r>
    </w:p>
    <w:p>
      <w:pPr>
        <w:pStyle w:val="2"/>
        <w:spacing w:before="39" w:line="360" w:lineRule="auto"/>
        <w:ind w:right="417"/>
        <w:jc w:val="both"/>
      </w:pPr>
      <w:r>
        <w:rPr>
          <w:spacing w:val="-3"/>
        </w:rPr>
        <w:t xml:space="preserve">万元，占公共财政拨款支出预算的 </w:t>
      </w:r>
      <w:r>
        <w:t>82.17％，社会保障和就</w:t>
      </w:r>
      <w:r>
        <w:rPr>
          <w:spacing w:val="15"/>
        </w:rPr>
        <w:t>业支出</w:t>
      </w:r>
      <w:r>
        <w:t>14.93</w:t>
      </w:r>
      <w:r>
        <w:rPr>
          <w:spacing w:val="-9"/>
        </w:rPr>
        <w:t xml:space="preserve"> 万元，占公共财政拨款支出预算的</w:t>
      </w:r>
      <w:r>
        <w:t>6.04％，卫</w:t>
      </w:r>
      <w:r>
        <w:rPr>
          <w:spacing w:val="9"/>
        </w:rPr>
        <w:t>生健康支出</w:t>
      </w:r>
      <w:r>
        <w:t>10.27</w:t>
      </w:r>
      <w:r>
        <w:rPr>
          <w:spacing w:val="-9"/>
        </w:rPr>
        <w:t xml:space="preserve"> 万元，占公共财政拨款支出预算的</w:t>
      </w:r>
      <w:r>
        <w:t xml:space="preserve">4.15％ </w:t>
      </w:r>
      <w:r>
        <w:rPr>
          <w:spacing w:val="7"/>
        </w:rPr>
        <w:t>住房保障支出</w:t>
      </w:r>
      <w:r>
        <w:t>18.88</w:t>
      </w:r>
      <w:r>
        <w:rPr>
          <w:spacing w:val="-9"/>
        </w:rPr>
        <w:t xml:space="preserve"> 万元，占公共财政拨款支出预算的</w:t>
      </w:r>
      <w:r>
        <w:t>1.64％。</w:t>
      </w:r>
    </w:p>
    <w:p>
      <w:pPr>
        <w:pStyle w:val="2"/>
        <w:spacing w:before="39" w:line="360" w:lineRule="auto"/>
        <w:ind w:right="417" w:firstLine="640"/>
        <w:jc w:val="both"/>
        <w:rPr>
          <w:rFonts w:hint="eastAsia"/>
          <w:lang w:eastAsia="zh-CN"/>
        </w:rPr>
      </w:pPr>
      <w:r>
        <w:t>按支出经济分类划分：工资福利支出216.10</w:t>
      </w:r>
      <w:r>
        <w:rPr>
          <w:spacing w:val="-12"/>
        </w:rPr>
        <w:t xml:space="preserve"> 万元，占</w:t>
      </w:r>
      <w:r>
        <w:rPr>
          <w:spacing w:val="-4"/>
        </w:rPr>
        <w:t>支出预算总额的</w:t>
      </w:r>
      <w:r>
        <w:t>87.39%，</w:t>
      </w:r>
      <w:r>
        <w:rPr>
          <w:spacing w:val="6"/>
        </w:rPr>
        <w:t>商品和服务支出</w:t>
      </w:r>
      <w:r>
        <w:t>30.94</w:t>
      </w:r>
      <w:r>
        <w:rPr>
          <w:spacing w:val="-20"/>
        </w:rPr>
        <w:t xml:space="preserve"> 万元，占支</w:t>
      </w:r>
      <w:r>
        <w:rPr>
          <w:spacing w:val="-27"/>
        </w:rPr>
        <w:t>出预算总额的</w:t>
      </w:r>
      <w:r>
        <w:t>12.51</w:t>
      </w:r>
      <w:r>
        <w:rPr>
          <w:spacing w:val="-6"/>
        </w:rPr>
        <w:t xml:space="preserve">%；对个人和家庭的补助 </w:t>
      </w:r>
      <w:r>
        <w:t>0.24</w:t>
      </w:r>
      <w:r>
        <w:rPr>
          <w:spacing w:val="-15"/>
        </w:rPr>
        <w:t>万元，占</w:t>
      </w:r>
      <w:r>
        <w:rPr>
          <w:spacing w:val="-24"/>
        </w:rPr>
        <w:t xml:space="preserve">支出预算总额的 </w:t>
      </w:r>
      <w:r>
        <w:t>0.1%。</w:t>
      </w:r>
    </w:p>
    <w:p>
      <w:pPr>
        <w:pStyle w:val="8"/>
        <w:spacing w:line="360" w:lineRule="auto"/>
        <w:ind w:left="760"/>
        <w:rPr>
          <w:rFonts w:ascii="仿宋" w:hAnsi="仿宋" w:eastAsia="仿宋"/>
        </w:rPr>
      </w:pPr>
      <w:r>
        <w:rPr>
          <w:rFonts w:ascii="仿宋" w:hAnsi="仿宋" w:eastAsia="仿宋"/>
        </w:rPr>
        <w:t>（三）财政拨款支出情况</w:t>
      </w:r>
    </w:p>
    <w:p>
      <w:pPr>
        <w:pStyle w:val="2"/>
        <w:spacing w:line="360" w:lineRule="auto"/>
        <w:ind w:left="760"/>
      </w:pPr>
      <w:r>
        <w:t>2021 年景德镇市政府驻北京联络处财政拨款支出预算</w:t>
      </w:r>
    </w:p>
    <w:p>
      <w:pPr>
        <w:pStyle w:val="2"/>
        <w:spacing w:before="39" w:line="360" w:lineRule="auto"/>
        <w:ind w:right="117"/>
        <w:jc w:val="both"/>
      </w:pPr>
      <w:r>
        <w:t>247.28</w:t>
      </w:r>
      <w:r>
        <w:rPr>
          <w:spacing w:val="-10"/>
        </w:rPr>
        <w:t xml:space="preserve"> 万元，占支出预算总额的 </w:t>
      </w:r>
      <w:r>
        <w:rPr>
          <w:spacing w:val="2"/>
        </w:rPr>
        <w:t>100%</w:t>
      </w:r>
      <w:r>
        <w:rPr>
          <w:rFonts w:hint="eastAsia"/>
          <w:spacing w:val="2"/>
          <w:lang w:eastAsia="zh-CN"/>
        </w:rPr>
        <w:t xml:space="preserve"> </w:t>
      </w:r>
      <w:r>
        <w:rPr>
          <w:spacing w:val="2"/>
        </w:rPr>
        <w:t>具体支出情况是：</w:t>
      </w:r>
      <w:r>
        <w:rPr>
          <w:spacing w:val="-4"/>
        </w:rPr>
        <w:t xml:space="preserve">一般公共安全支出 </w:t>
      </w:r>
      <w:r>
        <w:t>203.20</w:t>
      </w:r>
      <w:r>
        <w:rPr>
          <w:spacing w:val="-4"/>
        </w:rPr>
        <w:t xml:space="preserve"> 万元，占公共财政拨款支出预算</w:t>
      </w:r>
      <w:r>
        <w:rPr>
          <w:spacing w:val="-36"/>
        </w:rPr>
        <w:t xml:space="preserve">的 </w:t>
      </w:r>
      <w:r>
        <w:t>82.17</w:t>
      </w:r>
      <w:r>
        <w:rPr>
          <w:spacing w:val="-6"/>
        </w:rPr>
        <w:t xml:space="preserve">％，社会保障和就业支出 </w:t>
      </w:r>
      <w:r>
        <w:t>14.93</w:t>
      </w:r>
      <w:r>
        <w:rPr>
          <w:spacing w:val="-10"/>
        </w:rPr>
        <w:t xml:space="preserve"> 万元，占公共财政</w:t>
      </w:r>
      <w:r>
        <w:rPr>
          <w:spacing w:val="-3"/>
        </w:rPr>
        <w:t>拨款支出预算的</w:t>
      </w:r>
      <w:r>
        <w:t>6.04％，</w:t>
      </w:r>
      <w:r>
        <w:rPr>
          <w:spacing w:val="7"/>
        </w:rPr>
        <w:t>卫生健康支出</w:t>
      </w:r>
      <w:r>
        <w:t>10.27</w:t>
      </w:r>
      <w:r>
        <w:rPr>
          <w:spacing w:val="-18"/>
        </w:rPr>
        <w:t xml:space="preserve"> 万元，占公共</w:t>
      </w:r>
      <w:r>
        <w:rPr>
          <w:spacing w:val="-11"/>
        </w:rPr>
        <w:t>财政拨款支出预算的</w:t>
      </w:r>
      <w:r>
        <w:t>4.15％，</w:t>
      </w:r>
      <w:r>
        <w:rPr>
          <w:spacing w:val="7"/>
        </w:rPr>
        <w:t>住房保障支出</w:t>
      </w:r>
      <w:r>
        <w:t>18.88</w:t>
      </w:r>
      <w:r>
        <w:rPr>
          <w:spacing w:val="-24"/>
        </w:rPr>
        <w:t xml:space="preserve"> 万元，占</w:t>
      </w:r>
      <w:r>
        <w:rPr>
          <w:spacing w:val="-29"/>
        </w:rPr>
        <w:t xml:space="preserve">公共财政拨款支出预算的 </w:t>
      </w:r>
      <w:r>
        <w:t>1.64％。</w:t>
      </w:r>
    </w:p>
    <w:p>
      <w:pPr>
        <w:pStyle w:val="8"/>
        <w:spacing w:line="360" w:lineRule="auto"/>
        <w:rPr>
          <w:rFonts w:ascii="仿宋" w:hAnsi="仿宋" w:eastAsia="仿宋"/>
        </w:rPr>
      </w:pPr>
      <w:r>
        <w:rPr>
          <w:rFonts w:ascii="仿宋" w:hAnsi="仿宋" w:eastAsia="仿宋"/>
        </w:rPr>
        <w:t>四.政府基金预算情况</w:t>
      </w:r>
    </w:p>
    <w:p>
      <w:pPr>
        <w:pStyle w:val="2"/>
        <w:spacing w:before="84" w:line="360" w:lineRule="auto"/>
        <w:ind w:left="760"/>
      </w:pPr>
      <w:r>
        <w:t>2021 年，本部门政府基金预算安排数为 0</w:t>
      </w:r>
      <w:r>
        <w:rPr>
          <w:rFonts w:hint="eastAsia"/>
          <w:lang w:eastAsia="zh-CN"/>
        </w:rPr>
        <w:t xml:space="preserve"> </w:t>
      </w:r>
      <w:r>
        <w:t>万元。</w:t>
      </w:r>
    </w:p>
    <w:p>
      <w:pPr>
        <w:pStyle w:val="8"/>
        <w:spacing w:before="29" w:line="360" w:lineRule="auto"/>
        <w:rPr>
          <w:rFonts w:ascii="仿宋" w:hAnsi="仿宋" w:eastAsia="仿宋"/>
        </w:rPr>
      </w:pPr>
      <w:r>
        <w:rPr>
          <w:rFonts w:ascii="仿宋" w:hAnsi="仿宋" w:eastAsia="仿宋"/>
        </w:rPr>
        <w:t>（五）机关运行经费支出情况说明</w:t>
      </w:r>
    </w:p>
    <w:p>
      <w:pPr>
        <w:pStyle w:val="2"/>
        <w:spacing w:line="360" w:lineRule="auto"/>
        <w:ind w:left="760"/>
      </w:pPr>
      <w:r>
        <w:rPr>
          <w:spacing w:val="-16"/>
        </w:rPr>
        <w:t xml:space="preserve">本部门 </w:t>
      </w:r>
      <w:r>
        <w:t>2021</w:t>
      </w:r>
      <w:r>
        <w:rPr>
          <w:spacing w:val="-8"/>
        </w:rPr>
        <w:t xml:space="preserve"> 年度机关运行经费预算支出 </w:t>
      </w:r>
      <w:r>
        <w:t>30.94</w:t>
      </w:r>
      <w:r>
        <w:rPr>
          <w:spacing w:val="-15"/>
        </w:rPr>
        <w:t xml:space="preserve"> 万元，</w:t>
      </w:r>
    </w:p>
    <w:p>
      <w:pPr>
        <w:pStyle w:val="2"/>
        <w:spacing w:before="39" w:line="360" w:lineRule="auto"/>
        <w:ind w:right="118"/>
        <w:jc w:val="both"/>
      </w:pPr>
      <w:r>
        <w:rPr>
          <w:spacing w:val="-3"/>
        </w:rPr>
        <w:t xml:space="preserve">与上年预算相比减少了 </w:t>
      </w:r>
      <w:r>
        <w:t>7.56</w:t>
      </w:r>
      <w:r>
        <w:rPr>
          <w:spacing w:val="-4"/>
        </w:rPr>
        <w:t xml:space="preserve"> 万元，主要原因缩减开支及维修费减少。</w:t>
      </w:r>
    </w:p>
    <w:p>
      <w:pPr>
        <w:pStyle w:val="8"/>
        <w:spacing w:line="360" w:lineRule="auto"/>
        <w:ind w:left="1084"/>
        <w:rPr>
          <w:rFonts w:ascii="仿宋" w:hAnsi="仿宋" w:eastAsia="仿宋"/>
        </w:rPr>
      </w:pPr>
      <w:r>
        <w:rPr>
          <w:rFonts w:ascii="仿宋" w:hAnsi="仿宋" w:eastAsia="仿宋"/>
        </w:rPr>
        <w:t>（六）政府采购预算情况</w:t>
      </w:r>
    </w:p>
    <w:p>
      <w:pPr>
        <w:pStyle w:val="2"/>
        <w:spacing w:before="62" w:line="360" w:lineRule="auto"/>
        <w:ind w:left="760"/>
      </w:pPr>
      <w:r>
        <w:t>2021 年景德镇市政府驻北京联络处政府采购预算 0 万</w:t>
      </w:r>
    </w:p>
    <w:p>
      <w:pPr>
        <w:pStyle w:val="2"/>
        <w:spacing w:before="140" w:line="360" w:lineRule="auto"/>
        <w:jc w:val="both"/>
      </w:pPr>
      <w:r>
        <w:rPr>
          <w:spacing w:val="-8"/>
        </w:rPr>
        <w:t xml:space="preserve">元。其中部门集中采购 </w:t>
      </w:r>
      <w:r>
        <w:t>0</w:t>
      </w:r>
      <w:r>
        <w:rPr>
          <w:spacing w:val="-21"/>
        </w:rPr>
        <w:t xml:space="preserve"> 万元、分散采购 </w:t>
      </w:r>
      <w:r>
        <w:t>0</w:t>
      </w:r>
      <w:r>
        <w:rPr>
          <w:spacing w:val="-12"/>
        </w:rPr>
        <w:t xml:space="preserve"> 万元。政府购买</w:t>
      </w:r>
    </w:p>
    <w:p>
      <w:pPr>
        <w:pStyle w:val="2"/>
        <w:spacing w:before="140" w:line="360" w:lineRule="auto"/>
        <w:jc w:val="both"/>
      </w:pPr>
      <w:r>
        <w:t>服务力 0 万元。</w:t>
      </w:r>
    </w:p>
    <w:p>
      <w:pPr>
        <w:pStyle w:val="8"/>
        <w:spacing w:line="360" w:lineRule="auto"/>
        <w:ind w:left="1084"/>
        <w:rPr>
          <w:rFonts w:ascii="仿宋" w:hAnsi="仿宋" w:eastAsia="仿宋"/>
        </w:rPr>
      </w:pPr>
      <w:r>
        <w:rPr>
          <w:rFonts w:ascii="仿宋" w:hAnsi="仿宋" w:eastAsia="仿宋"/>
        </w:rPr>
        <w:t>（七）国有资产占用情况说明</w:t>
      </w:r>
    </w:p>
    <w:p>
      <w:pPr>
        <w:pStyle w:val="2"/>
        <w:spacing w:before="62" w:line="360" w:lineRule="auto"/>
        <w:ind w:left="760"/>
      </w:pPr>
      <w:r>
        <w:t>2021</w:t>
      </w:r>
      <w:r>
        <w:rPr>
          <w:spacing w:val="-14"/>
        </w:rPr>
        <w:t xml:space="preserve"> 年本部门共有车辆 </w:t>
      </w:r>
      <w:r>
        <w:t>4</w:t>
      </w:r>
      <w:r>
        <w:rPr>
          <w:spacing w:val="6"/>
        </w:rPr>
        <w:t xml:space="preserve"> 辆；单位价值</w:t>
      </w:r>
      <w:r>
        <w:t>50</w:t>
      </w:r>
      <w:r>
        <w:rPr>
          <w:spacing w:val="-20"/>
        </w:rPr>
        <w:t xml:space="preserve"> 万元以上通</w:t>
      </w:r>
    </w:p>
    <w:p>
      <w:pPr>
        <w:pStyle w:val="2"/>
        <w:spacing w:before="140" w:line="360" w:lineRule="auto"/>
        <w:jc w:val="both"/>
      </w:pPr>
      <w:r>
        <w:t>用设备 0 台；单位价值 100 万元以上专用设备 0 台。</w:t>
      </w:r>
    </w:p>
    <w:p>
      <w:pPr>
        <w:pStyle w:val="8"/>
        <w:spacing w:line="360" w:lineRule="auto"/>
        <w:ind w:left="1084"/>
        <w:rPr>
          <w:rFonts w:ascii="仿宋" w:hAnsi="仿宋" w:eastAsia="仿宋"/>
        </w:rPr>
      </w:pPr>
      <w:r>
        <w:rPr>
          <w:rFonts w:ascii="仿宋" w:hAnsi="仿宋" w:eastAsia="仿宋"/>
        </w:rPr>
        <w:t>（八）整体绩效目标设置情况</w:t>
      </w:r>
    </w:p>
    <w:p>
      <w:pPr>
        <w:pStyle w:val="2"/>
        <w:spacing w:before="181" w:line="360" w:lineRule="auto"/>
        <w:rPr>
          <w:rFonts w:hint="eastAsia"/>
          <w:lang w:eastAsia="zh-CN"/>
        </w:rPr>
      </w:pPr>
      <w:r>
        <w:t>2021</w:t>
      </w:r>
      <w:r>
        <w:rPr>
          <w:spacing w:val="-12"/>
        </w:rPr>
        <w:t xml:space="preserve"> 年景德镇市政府驻北京联络处绩效目标管理的项目 </w:t>
      </w:r>
      <w:r>
        <w:t>1个：信访事务接待。项目目标：通过项目实施，配合北京市做好维护首都稳定的有关工作，协助市有关部门做好我市赴京上访人员的信访劝返维稳工作。充分发挥政府在京的“窗口、桥梁、纽带、联络”作用，扎实推进各项工作，积极为我市经济社会发展服务。</w:t>
      </w:r>
    </w:p>
    <w:p>
      <w:pPr>
        <w:pStyle w:val="8"/>
        <w:spacing w:line="360" w:lineRule="auto"/>
        <w:rPr>
          <w:rFonts w:ascii="仿宋" w:hAnsi="仿宋" w:eastAsia="仿宋"/>
        </w:rPr>
      </w:pPr>
      <w:r>
        <w:rPr>
          <w:rFonts w:ascii="仿宋" w:hAnsi="仿宋" w:eastAsia="仿宋"/>
          <w:w w:val="95"/>
        </w:rPr>
        <w:t>二、2021   年三公经费增减变化原因等说明</w:t>
      </w:r>
    </w:p>
    <w:p>
      <w:pPr>
        <w:pStyle w:val="2"/>
        <w:spacing w:line="360" w:lineRule="auto"/>
        <w:ind w:left="760"/>
      </w:pPr>
      <w:r>
        <w:t>2021 年</w:t>
      </w:r>
      <w:r>
        <w:rPr>
          <w:rFonts w:hint="eastAsia"/>
        </w:rPr>
        <w:t>景德镇市政府驻北京联络处</w:t>
      </w:r>
      <w:r>
        <w:t>“三公”经费年初</w:t>
      </w:r>
    </w:p>
    <w:p>
      <w:pPr>
        <w:pStyle w:val="2"/>
        <w:spacing w:line="360" w:lineRule="auto"/>
      </w:pPr>
      <w:r>
        <w:t>预算安排 7.77 万元。其中：因公出国（境）费 0 万元。</w:t>
      </w:r>
    </w:p>
    <w:p>
      <w:pPr>
        <w:spacing w:line="360" w:lineRule="auto"/>
        <w:rPr>
          <w:rFonts w:hint="eastAsia"/>
          <w:sz w:val="32"/>
          <w:szCs w:val="32"/>
          <w:lang w:eastAsia="zh-CN"/>
        </w:rPr>
      </w:pPr>
      <w:r>
        <w:rPr>
          <w:sz w:val="32"/>
          <w:szCs w:val="32"/>
        </w:rPr>
        <w:t>公务接待费 0 万元，与上年一致。公务用车运行维护费 7.77 万元，与上年一致。公务用车购置费 0 万元，与上年一致。主要原因： 财政过紧日子需要。</w:t>
      </w:r>
    </w:p>
    <w:p>
      <w:pPr>
        <w:pStyle w:val="2"/>
        <w:tabs>
          <w:tab w:val="left" w:pos="1719"/>
        </w:tabs>
        <w:spacing w:before="1" w:line="360" w:lineRule="auto"/>
        <w:rPr>
          <w:b/>
        </w:rPr>
      </w:pPr>
      <w:r>
        <w:rPr>
          <w:rFonts w:hint="eastAsia"/>
          <w:b/>
        </w:rPr>
        <w:t>第三部分</w:t>
      </w:r>
      <w:r>
        <w:rPr>
          <w:rFonts w:hint="eastAsia"/>
          <w:b/>
        </w:rPr>
        <w:tab/>
      </w:r>
      <w:r>
        <w:rPr>
          <w:rFonts w:hint="eastAsia"/>
          <w:b/>
        </w:rPr>
        <w:t>景德镇市政府驻北京联络处</w:t>
      </w:r>
      <w:r>
        <w:rPr>
          <w:rFonts w:hint="eastAsia"/>
          <w:b/>
          <w:spacing w:val="-80"/>
        </w:rPr>
        <w:t xml:space="preserve"> </w:t>
      </w:r>
      <w:r>
        <w:rPr>
          <w:rFonts w:hint="eastAsia"/>
          <w:b/>
        </w:rPr>
        <w:t>2021</w:t>
      </w:r>
      <w:r>
        <w:rPr>
          <w:rFonts w:hint="eastAsia"/>
          <w:b/>
          <w:spacing w:val="-80"/>
        </w:rPr>
        <w:t xml:space="preserve"> </w:t>
      </w:r>
      <w:r>
        <w:rPr>
          <w:rFonts w:hint="eastAsia"/>
          <w:b/>
        </w:rPr>
        <w:t>年部门预算表</w:t>
      </w:r>
    </w:p>
    <w:p>
      <w:pPr>
        <w:spacing w:line="360" w:lineRule="auto"/>
        <w:ind w:firstLine="640"/>
        <w:rPr>
          <w:rFonts w:hint="eastAsia"/>
          <w:b/>
          <w:sz w:val="32"/>
          <w:szCs w:val="32"/>
          <w:lang w:eastAsia="zh-CN"/>
        </w:rPr>
      </w:pPr>
      <w:r>
        <w:rPr>
          <w:b/>
          <w:sz w:val="32"/>
          <w:szCs w:val="32"/>
        </w:rPr>
        <w:t>（详见附表）</w:t>
      </w:r>
    </w:p>
    <w:p>
      <w:pPr>
        <w:spacing w:line="600" w:lineRule="exact"/>
        <w:ind w:firstLine="640"/>
        <w:rPr>
          <w:b/>
          <w:sz w:val="32"/>
          <w:szCs w:val="32"/>
        </w:rPr>
      </w:pPr>
      <w:r>
        <w:rPr>
          <w:b/>
          <w:sz w:val="32"/>
          <w:szCs w:val="32"/>
        </w:rPr>
        <w:t>第四部分</w:t>
      </w:r>
      <w:r>
        <w:rPr>
          <w:rFonts w:hint="eastAsia"/>
          <w:b/>
          <w:sz w:val="32"/>
          <w:szCs w:val="32"/>
          <w:lang w:eastAsia="zh-CN"/>
        </w:rPr>
        <w:t xml:space="preserve"> </w:t>
      </w:r>
      <w:r>
        <w:rPr>
          <w:b/>
          <w:sz w:val="32"/>
          <w:szCs w:val="32"/>
        </w:rPr>
        <w:t>名词解释</w:t>
      </w:r>
    </w:p>
    <w:p>
      <w:pPr>
        <w:spacing w:line="360" w:lineRule="auto"/>
        <w:rPr>
          <w:sz w:val="32"/>
          <w:szCs w:val="32"/>
        </w:rPr>
      </w:pPr>
      <w:r>
        <w:rPr>
          <w:rFonts w:hint="eastAsia"/>
          <w:sz w:val="32"/>
          <w:szCs w:val="32"/>
        </w:rPr>
        <w:t>一、收入科目</w:t>
      </w:r>
    </w:p>
    <w:p>
      <w:pPr>
        <w:spacing w:line="360" w:lineRule="auto"/>
        <w:ind w:firstLine="640"/>
        <w:rPr>
          <w:sz w:val="32"/>
          <w:szCs w:val="32"/>
        </w:rPr>
      </w:pPr>
      <w:r>
        <w:rPr>
          <w:rFonts w:hint="eastAsia"/>
          <w:sz w:val="32"/>
          <w:szCs w:val="32"/>
        </w:rPr>
        <w:t>（一）财政拨款：指市级财政当年拨付的资金。</w:t>
      </w:r>
    </w:p>
    <w:p>
      <w:pPr>
        <w:spacing w:line="360" w:lineRule="auto"/>
        <w:ind w:firstLine="640"/>
        <w:rPr>
          <w:sz w:val="32"/>
          <w:szCs w:val="32"/>
        </w:rPr>
      </w:pPr>
      <w:r>
        <w:rPr>
          <w:rFonts w:hint="eastAsia"/>
          <w:sz w:val="32"/>
          <w:szCs w:val="32"/>
        </w:rPr>
        <w:t>（二）事业收入：指事业单位开展专业业务活动及辅助活动取得的收入。</w:t>
      </w:r>
    </w:p>
    <w:p>
      <w:pPr>
        <w:spacing w:line="360" w:lineRule="auto"/>
        <w:ind w:firstLine="640"/>
        <w:rPr>
          <w:sz w:val="32"/>
          <w:szCs w:val="32"/>
        </w:rPr>
      </w:pPr>
      <w:r>
        <w:rPr>
          <w:rFonts w:hint="eastAsia"/>
          <w:sz w:val="32"/>
          <w:szCs w:val="32"/>
        </w:rPr>
        <w:t>（三）事业单位经营收入：指事业单位在专业业务活动及辅助活动之外开展非独立核算经营活动取得的收入。</w:t>
      </w:r>
    </w:p>
    <w:p>
      <w:pPr>
        <w:spacing w:line="360" w:lineRule="auto"/>
        <w:ind w:firstLine="640"/>
        <w:rPr>
          <w:sz w:val="32"/>
          <w:szCs w:val="32"/>
        </w:rPr>
      </w:pPr>
      <w:r>
        <w:rPr>
          <w:rFonts w:hint="eastAsia"/>
          <w:sz w:val="32"/>
          <w:szCs w:val="32"/>
        </w:rPr>
        <w:t>（四）其他收入：指除财政拨款、事业收入、事业单位经营收入等以外的各项收入。</w:t>
      </w:r>
    </w:p>
    <w:p>
      <w:pPr>
        <w:spacing w:line="360" w:lineRule="auto"/>
        <w:ind w:firstLine="640"/>
        <w:rPr>
          <w:sz w:val="32"/>
          <w:szCs w:val="32"/>
        </w:rPr>
      </w:pPr>
      <w:r>
        <w:rPr>
          <w:rFonts w:hint="eastAsia"/>
          <w:sz w:val="32"/>
          <w:szCs w:val="32"/>
        </w:rPr>
        <w:t>（五）附属单位上缴收入：反映事业单位附属的独立核算单位按规定标准或比例缴纳的各项收入。包括附属的事业单位上缴的收入和附属的企业上缴的利润等。</w:t>
      </w:r>
    </w:p>
    <w:p>
      <w:pPr>
        <w:spacing w:line="360" w:lineRule="auto"/>
        <w:ind w:firstLine="640"/>
        <w:rPr>
          <w:sz w:val="32"/>
          <w:szCs w:val="32"/>
        </w:rPr>
      </w:pPr>
      <w:r>
        <w:rPr>
          <w:rFonts w:hint="eastAsia"/>
          <w:sz w:val="32"/>
          <w:szCs w:val="32"/>
        </w:rPr>
        <w:t>（六）上级补助收入：反映事业单位从主管部门和上级单位取得的非财政补助收入。</w:t>
      </w:r>
    </w:p>
    <w:p>
      <w:pPr>
        <w:spacing w:line="360" w:lineRule="auto"/>
        <w:ind w:firstLine="640"/>
        <w:rPr>
          <w:sz w:val="32"/>
          <w:szCs w:val="32"/>
        </w:rPr>
      </w:pPr>
      <w:r>
        <w:rPr>
          <w:rFonts w:hint="eastAsia"/>
          <w:sz w:val="32"/>
          <w:szCs w:val="32"/>
        </w:rPr>
        <w:t>（七）用事业基金弥补收支差额：填列事业单位用事业基金弥补2022年收支差额的数额。</w:t>
      </w:r>
    </w:p>
    <w:p>
      <w:pPr>
        <w:spacing w:line="360" w:lineRule="auto"/>
        <w:ind w:firstLine="640"/>
        <w:rPr>
          <w:sz w:val="32"/>
          <w:szCs w:val="32"/>
        </w:rPr>
      </w:pPr>
      <w:r>
        <w:rPr>
          <w:rFonts w:hint="eastAsia"/>
          <w:sz w:val="32"/>
          <w:szCs w:val="32"/>
        </w:rPr>
        <w:t>（八）上年结转和结余：填列2021年全部结转和结余的资金数，包括当年结转结余资金和历年滚存结转结余资金。</w:t>
      </w:r>
    </w:p>
    <w:p>
      <w:pPr>
        <w:spacing w:line="360" w:lineRule="auto"/>
        <w:rPr>
          <w:sz w:val="32"/>
          <w:szCs w:val="32"/>
        </w:rPr>
      </w:pPr>
      <w:r>
        <w:rPr>
          <w:rFonts w:hint="eastAsia"/>
          <w:sz w:val="32"/>
          <w:szCs w:val="32"/>
        </w:rPr>
        <w:t>二、支出科目</w:t>
      </w:r>
    </w:p>
    <w:p>
      <w:pPr>
        <w:spacing w:line="360" w:lineRule="auto"/>
        <w:ind w:firstLine="640"/>
        <w:rPr>
          <w:sz w:val="32"/>
          <w:szCs w:val="32"/>
        </w:rPr>
      </w:pPr>
      <w:r>
        <w:rPr>
          <w:rFonts w:hint="eastAsia"/>
          <w:sz w:val="32"/>
          <w:szCs w:val="32"/>
        </w:rPr>
        <w:t>（一）一般公共服务支出（类）财政事务（款）行政运行（项）：指反映行政单位（包括实行公务员管理的事业单位）的基本支出。</w:t>
      </w:r>
    </w:p>
    <w:p>
      <w:pPr>
        <w:spacing w:line="360" w:lineRule="auto"/>
        <w:ind w:firstLine="640"/>
        <w:rPr>
          <w:sz w:val="32"/>
          <w:szCs w:val="32"/>
        </w:rPr>
      </w:pPr>
      <w:r>
        <w:rPr>
          <w:rFonts w:hint="eastAsia"/>
          <w:sz w:val="32"/>
          <w:szCs w:val="32"/>
        </w:rPr>
        <w:t>一般行政管理事务（项）：指反映行政单位（包括实行公务员管理的事业单位）未单独设置项级科目的其他项目支出。</w:t>
      </w:r>
    </w:p>
    <w:p>
      <w:pPr>
        <w:spacing w:line="360" w:lineRule="auto"/>
        <w:ind w:firstLine="640"/>
        <w:rPr>
          <w:sz w:val="32"/>
          <w:szCs w:val="32"/>
        </w:rPr>
      </w:pPr>
      <w:r>
        <w:rPr>
          <w:rFonts w:hint="eastAsia"/>
          <w:sz w:val="32"/>
          <w:szCs w:val="32"/>
        </w:rPr>
        <w:t>事业运行（项）：反映事业单位的基本支出，不包括行政单位（包括实行公务员管理的事业单位）后勤服务中心、医务室等附属事业单位。</w:t>
      </w:r>
    </w:p>
    <w:p>
      <w:pPr>
        <w:spacing w:line="360" w:lineRule="auto"/>
        <w:ind w:firstLine="640"/>
        <w:rPr>
          <w:sz w:val="32"/>
          <w:szCs w:val="32"/>
        </w:rPr>
      </w:pPr>
      <w:r>
        <w:rPr>
          <w:rFonts w:hint="eastAsia"/>
          <w:sz w:val="32"/>
          <w:szCs w:val="32"/>
        </w:rPr>
        <w:t>其他财政事务支出（项）：反映除上述项目以外其他财政事务方面的支出。</w:t>
      </w:r>
    </w:p>
    <w:p>
      <w:pPr>
        <w:spacing w:line="360" w:lineRule="auto"/>
        <w:ind w:firstLine="640"/>
        <w:rPr>
          <w:sz w:val="32"/>
          <w:szCs w:val="32"/>
        </w:rPr>
      </w:pPr>
      <w:r>
        <w:rPr>
          <w:rFonts w:hint="eastAsia"/>
          <w:sz w:val="32"/>
          <w:szCs w:val="32"/>
        </w:rPr>
        <w:t>（二）社会保障和就业支出（类）行政事业单位养老支出（款）机关事业单位基本养老保险缴费支出（项）：指反映机关事业单位实施养老保险制度由单位缴纳的基本养老保险费支出。</w:t>
      </w:r>
    </w:p>
    <w:p>
      <w:pPr>
        <w:spacing w:line="360" w:lineRule="auto"/>
        <w:ind w:firstLine="640"/>
        <w:rPr>
          <w:sz w:val="32"/>
          <w:szCs w:val="32"/>
        </w:rPr>
      </w:pPr>
      <w:r>
        <w:rPr>
          <w:rFonts w:hint="eastAsia"/>
          <w:sz w:val="32"/>
          <w:szCs w:val="32"/>
        </w:rPr>
        <w:t>（三）卫生健康支出支出（类）行政事业单位医疗（款）其他行政事业单位医疗支出（项）：指反映财政部门集中安排的行政单位基本医疗保险缴费经费，未参加医疗保险的行政单位的公费医疗经费，按国家规定享受离休人员、红军战士待遇人员的医疗经费。</w:t>
      </w:r>
    </w:p>
    <w:p>
      <w:pPr>
        <w:spacing w:line="360" w:lineRule="auto"/>
        <w:ind w:firstLine="640"/>
        <w:rPr>
          <w:sz w:val="32"/>
          <w:szCs w:val="32"/>
        </w:rPr>
      </w:pPr>
      <w:r>
        <w:rPr>
          <w:rFonts w:hint="eastAsia"/>
          <w:sz w:val="32"/>
          <w:szCs w:val="32"/>
        </w:rPr>
        <w:t>（四）住房保障支出（类）住房改革支出（款）住房公积金（项）：指反映行政事业单位按人力资源和社会保障部、财政部规定的基本工资和津贴补贴以及规定比例为职工缴纳的住房公积金。</w:t>
      </w:r>
    </w:p>
    <w:p>
      <w:pPr>
        <w:spacing w:line="360" w:lineRule="auto"/>
        <w:ind w:firstLine="640"/>
        <w:rPr>
          <w:sz w:val="32"/>
          <w:szCs w:val="32"/>
        </w:rPr>
      </w:pPr>
      <w:r>
        <w:rPr>
          <w:rFonts w:hint="eastAsia"/>
          <w:sz w:val="32"/>
          <w:szCs w:val="32"/>
        </w:rPr>
        <w:t>（五）</w:t>
      </w:r>
      <w:r>
        <w:rPr>
          <w:sz w:val="32"/>
          <w:szCs w:val="32"/>
        </w:rPr>
        <w:t xml:space="preserve"> “三公经费”：反映财政拨款安排的因公出国（境） 费、公务用车购置及运行费和公务接待费。其中，因公出国 （境）费反映单位公务出国（境）的国际旅费、国外城市交 通费、住宿费、伙食费、培训费、公杂费等支出；公务用车 购置及运行费反映单位公务车辆购置支出（含车辆购置税） 及租用费、燃料费、维修费、过桥过路费、保险费、安全奖 励费用等支出；公务接待费反映单位按规定开支的各类公务接待（含外宾接待）支出。</w:t>
      </w:r>
      <w:r>
        <w:rPr>
          <w:rFonts w:hint="eastAsia"/>
          <w:sz w:val="32"/>
          <w:szCs w:val="32"/>
        </w:rPr>
        <w:t xml:space="preserve">        </w:t>
      </w:r>
    </w:p>
    <w:p>
      <w:pPr>
        <w:spacing w:line="360" w:lineRule="auto"/>
        <w:ind w:firstLine="640"/>
        <w:rPr>
          <w:sz w:val="32"/>
          <w:szCs w:val="32"/>
        </w:rPr>
      </w:pPr>
      <w:r>
        <w:rPr>
          <w:rFonts w:hint="eastAsia"/>
          <w:sz w:val="32"/>
          <w:szCs w:val="32"/>
        </w:rPr>
        <w:t>（六）</w:t>
      </w:r>
      <w:r>
        <w:rPr>
          <w:sz w:val="32"/>
          <w:szCs w:val="32"/>
        </w:rPr>
        <w:t>机关运行经费：为保障行政单位（含参照公务员法管 理的事业单位）运行用于购买货物和服务的各项资金，包括 办公及印刷费、邮电费、差旅费、会议费、福利费、日常维 修费、专用材料及一般购置费、办公用房水电费、办公用房 取暖费、办公用房物业管理费及其他费用。</w:t>
      </w:r>
      <w:r>
        <w:rPr>
          <w:rFonts w:hint="eastAsia"/>
          <w:sz w:val="32"/>
          <w:szCs w:val="32"/>
        </w:rPr>
        <w:t xml:space="preserve">                       </w:t>
      </w:r>
    </w:p>
    <w:p>
      <w:pPr>
        <w:pStyle w:val="2"/>
        <w:spacing w:line="360" w:lineRule="auto"/>
        <w:jc w:val="both"/>
      </w:pPr>
      <w:r>
        <w:t>级单位取得的非财政补助收入。</w:t>
      </w:r>
    </w:p>
    <w:p>
      <w:pPr>
        <w:pStyle w:val="2"/>
        <w:spacing w:before="181" w:line="360" w:lineRule="auto"/>
        <w:ind w:right="137" w:firstLine="640"/>
      </w:pPr>
      <w:r>
        <w:t>（七）用事业基金弥补收支差额：填列事业单位用事业基金弥补 2021 年收支差额的数额。</w:t>
      </w:r>
    </w:p>
    <w:p>
      <w:pPr>
        <w:pStyle w:val="2"/>
        <w:spacing w:before="43" w:line="360" w:lineRule="auto"/>
        <w:ind w:right="117" w:firstLine="640"/>
        <w:jc w:val="both"/>
      </w:pPr>
      <w:r>
        <w:rPr>
          <w:spacing w:val="6"/>
        </w:rPr>
        <w:t>（八）</w:t>
      </w:r>
      <w:r>
        <w:rPr>
          <w:spacing w:val="-3"/>
        </w:rPr>
        <w:t xml:space="preserve">上年结转和结余：填列 </w:t>
      </w:r>
      <w:r>
        <w:t>2020</w:t>
      </w:r>
      <w:r>
        <w:rPr>
          <w:spacing w:val="-6"/>
        </w:rPr>
        <w:t xml:space="preserve"> 年全部结转和结余</w:t>
      </w:r>
      <w:r>
        <w:rPr>
          <w:spacing w:val="11"/>
        </w:rPr>
        <w:t>的资金数，包括当年结转结余资金和历年滚存结转结余资金。</w:t>
      </w:r>
    </w:p>
    <w:p>
      <w:pPr>
        <w:pStyle w:val="8"/>
        <w:spacing w:line="360" w:lineRule="auto"/>
        <w:ind w:left="760"/>
        <w:rPr>
          <w:rFonts w:ascii="仿宋" w:hAnsi="仿宋" w:eastAsia="仿宋"/>
        </w:rPr>
      </w:pPr>
      <w:r>
        <w:rPr>
          <w:rFonts w:ascii="仿宋" w:hAnsi="仿宋" w:eastAsia="仿宋"/>
        </w:rPr>
        <w:t>二、支出科目</w:t>
      </w:r>
    </w:p>
    <w:p>
      <w:pPr>
        <w:pStyle w:val="2"/>
        <w:spacing w:line="360" w:lineRule="auto"/>
        <w:ind w:left="760"/>
      </w:pPr>
      <w:r>
        <w:t>1.财政拨款：指市级财政当年拨付的资金。</w:t>
      </w:r>
    </w:p>
    <w:p>
      <w:pPr>
        <w:pStyle w:val="2"/>
        <w:spacing w:before="38" w:line="360" w:lineRule="auto"/>
        <w:ind w:right="400" w:firstLine="640"/>
      </w:pPr>
      <w:r>
        <w:t>2.事业收入：指事业单位开展专业业务活动及辅助活动取得的收入。</w:t>
      </w:r>
    </w:p>
    <w:p>
      <w:pPr>
        <w:pStyle w:val="2"/>
        <w:spacing w:line="360" w:lineRule="auto"/>
        <w:ind w:left="760"/>
      </w:pPr>
      <w:r>
        <w:t>3.行政运行：反映行政单位（包括参公单位）的基本</w:t>
      </w:r>
    </w:p>
    <w:p>
      <w:pPr>
        <w:pStyle w:val="2"/>
        <w:spacing w:line="360" w:lineRule="auto"/>
        <w:jc w:val="both"/>
      </w:pPr>
      <w:r>
        <w:t>支出。</w:t>
      </w:r>
    </w:p>
    <w:p>
      <w:pPr>
        <w:pStyle w:val="2"/>
        <w:spacing w:before="150" w:line="360" w:lineRule="auto"/>
        <w:ind w:right="137" w:firstLine="640"/>
      </w:pPr>
      <w:r>
        <w:t>4.“</w:t>
      </w:r>
      <w:r>
        <w:rPr>
          <w:spacing w:val="-14"/>
        </w:rPr>
        <w:t>三公经费”：反映财政拨款安排的因公出国</w:t>
      </w:r>
      <w:r>
        <w:t>（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pStyle w:val="2"/>
        <w:spacing w:line="360" w:lineRule="auto"/>
        <w:ind w:left="119" w:firstLine="640"/>
      </w:pPr>
      <w:r>
        <w:t>5.机关运行经费：为保障行政单位（含参照公务员法</w:t>
      </w:r>
    </w:p>
    <w:p>
      <w:pPr>
        <w:pStyle w:val="2"/>
        <w:spacing w:before="39" w:line="360" w:lineRule="auto"/>
        <w:ind w:left="119" w:right="117"/>
        <w:jc w:val="both"/>
      </w:pPr>
      <w:r>
        <w:t>管理的事业单位）运行用于购买货物和服务的各项资金， 包括办公及印刷费、邮电费、差旅费、会议费、福利费、日常维修费、专用材料及一般购置费、办公用房水电费、办公用房取暖费、办公用房物业管理费及其他费用。</w:t>
      </w:r>
    </w:p>
    <w:p>
      <w:pPr>
        <w:spacing w:line="360" w:lineRule="auto"/>
        <w:jc w:val="both"/>
        <w:rPr>
          <w:rFonts w:hint="eastAsia"/>
          <w:sz w:val="32"/>
          <w:szCs w:val="32"/>
          <w:lang w:eastAsia="zh-CN"/>
        </w:rPr>
        <w:sectPr>
          <w:pgSz w:w="11900" w:h="16840"/>
          <w:pgMar w:top="1600" w:right="1380" w:bottom="1160" w:left="1680" w:header="0" w:footer="975" w:gutter="0"/>
          <w:cols w:space="720" w:num="1"/>
        </w:sectPr>
      </w:pPr>
    </w:p>
    <w:p>
      <w:pPr>
        <w:pStyle w:val="2"/>
        <w:spacing w:before="119" w:line="360" w:lineRule="auto"/>
        <w:ind w:left="0"/>
        <w:rPr>
          <w:rFonts w:hint="eastAsia"/>
          <w:lang w:eastAsia="zh-CN"/>
        </w:rPr>
      </w:pPr>
    </w:p>
    <w:p>
      <w:pPr>
        <w:pStyle w:val="2"/>
        <w:spacing w:before="1" w:line="360" w:lineRule="auto"/>
        <w:ind w:left="0"/>
      </w:pPr>
    </w:p>
    <w:p>
      <w:pPr>
        <w:pStyle w:val="2"/>
        <w:ind w:left="0"/>
      </w:pPr>
    </w:p>
    <w:p>
      <w:pPr>
        <w:pStyle w:val="2"/>
        <w:spacing w:before="1"/>
        <w:ind w:left="0"/>
      </w:pPr>
    </w:p>
    <w:sectPr>
      <w:pgSz w:w="11900" w:h="16840"/>
      <w:pgMar w:top="1560" w:right="1680" w:bottom="1160" w:left="1680" w:header="0" w:footer="97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思源黑体 Heavy">
    <w:altName w:val="微软雅黑"/>
    <w:panose1 w:val="00000000000000000000"/>
    <w:charset w:val="86"/>
    <w:family w:val="swiss"/>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3723640</wp:posOffset>
              </wp:positionH>
              <wp:positionV relativeFrom="page">
                <wp:posOffset>9934575</wp:posOffset>
              </wp:positionV>
              <wp:extent cx="1092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1</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3.2pt;margin-top:782.25pt;height:11pt;width:8.6pt;mso-position-horizontal-relative:page;mso-position-vertical-relative:page;z-index:-251657216;mso-width-relative:page;mso-height-relative:page;" filled="f" stroked="f" coordsize="21600,21600" o:gfxdata="UEsDBAoAAAAAAIdO4kAAAAAAAAAAAAAAAAAEAAAAZHJzL1BLAwQUAAAACACHTuJACtBrBtoAAAAN&#10;AQAADwAAAGRycy9kb3ducmV2LnhtbE2Py07DMBBF90j8gzVI7KhdaKwQ4lQIwQoJkYYFSyeeJlbj&#10;cYjdB3+PuyrLmXt050y5PrmRHXAO1pOC5UIAQ+q8sdQr+Gre7nJgIWoyevSECn4xwLq6vip1YfyR&#10;ajxsYs9SCYVCKxhinArOQzeg02HhJ6SUbf3sdEzj3HMz62MqdyO/F0Jypy2lC4Oe8GXAbrfZOwXP&#10;31S/2p+P9rPe1rZpHgW9y51StzdL8QQs4ileYDjrJ3WoklPr92QCGxVkuVwlNAWZXGXAEiLFgwTW&#10;nle5zIBXJf//RfUHUEsDBBQAAAAIAIdO4kDVg+cyuQEAAHEDAAAOAAAAZHJzL2Uyb0RvYy54bWyt&#10;U82O0zAQviPxDpbv1GmRgI2aroSqRUgIkJZ9ANdxGkv+04zbpC8Ab8CJC3eeq8/B2E27sHvZw16S&#10;8czkm+/7xllej86yvQY0wTd8Pqs4016F1vhtw+++3bx6xxkm6Vtpg9cNP2jk16uXL5ZDrPUi9MG2&#10;GhiBeKyH2PA+pVgLgarXTuIsRO2p2AVwMtERtqIFORC6s2JRVW/EEKCNEJRGpOz6VOQTIjwFMHSd&#10;UXod1M5pn06ooK1MJAl7E5GvCtuu0yp96TrUidmGk9JUnjSE4k1+itVS1luQsTdqoiCfQuGBJieN&#10;p6EXqLVMku3APIJyRkHA0KWZCk6chBRHSMW8euDNbS+jLlrIaowX0/H5YNXn/VdgpqWbwJmXjhZ+&#10;/Pnj+OvP8fd3Ns/2DBFr6rqN1JfG92HMrVMeKZlVjx24/CY9jOpk7uFirh4TU/mj6mqxoIqi0vz1&#10;1duqmC/uP46A6YMOjuWg4UC7K5bK/SdMNJBazy15lg83xtqyP+v/S1BjzojM/MQwR2ncjBPtTWgP&#10;pMZ+9ORkvhXnAM7B5hzsIphtT3SK5gJJmyhkpluTV/3vuQy+/1N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K0GsG2gAAAA0BAAAPAAAAAAAAAAEAIAAAACIAAABkcnMvZG93bnJldi54bWxQSwEC&#10;FAAUAAAACACHTuJA1YPnMrkBAABxAwAADgAAAAAAAAABACAAAAApAQAAZHJzL2Uyb0RvYy54bWxQ&#10;SwUGAAAAAAYABgBZAQAAVAU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1"/>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654"/>
    <w:rsid w:val="00220E7D"/>
    <w:rsid w:val="0028672C"/>
    <w:rsid w:val="00321DF3"/>
    <w:rsid w:val="00395A83"/>
    <w:rsid w:val="00694654"/>
    <w:rsid w:val="00764B45"/>
    <w:rsid w:val="00874F92"/>
    <w:rsid w:val="009658D9"/>
    <w:rsid w:val="009733DB"/>
    <w:rsid w:val="00A946C3"/>
    <w:rsid w:val="00C639AF"/>
    <w:rsid w:val="00EA490E"/>
    <w:rsid w:val="59CC1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pPr>
    <w:rPr>
      <w:sz w:val="32"/>
      <w:szCs w:val="32"/>
    </w:rPr>
  </w:style>
  <w:style w:type="paragraph" w:styleId="3">
    <w:name w:val="footer"/>
    <w:basedOn w:val="1"/>
    <w:link w:val="12"/>
    <w:semiHidden/>
    <w:unhideWhenUsed/>
    <w:uiPriority w:val="99"/>
    <w:pPr>
      <w:tabs>
        <w:tab w:val="center" w:pos="4153"/>
        <w:tab w:val="right" w:pos="8306"/>
      </w:tabs>
      <w:snapToGrid w:val="0"/>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customStyle="1" w:styleId="8">
    <w:name w:val="Heading 1"/>
    <w:basedOn w:val="1"/>
    <w:qFormat/>
    <w:uiPriority w:val="1"/>
    <w:pPr>
      <w:spacing w:line="557" w:lineRule="exact"/>
      <w:ind w:left="763"/>
      <w:outlineLvl w:val="1"/>
    </w:pPr>
    <w:rPr>
      <w:rFonts w:ascii="思源黑体 Heavy" w:hAnsi="思源黑体 Heavy" w:eastAsia="思源黑体 Heavy" w:cs="思源黑体 Heavy"/>
      <w:b/>
      <w:bCs/>
      <w:sz w:val="32"/>
      <w:szCs w:val="32"/>
    </w:r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Char"/>
    <w:basedOn w:val="6"/>
    <w:link w:val="4"/>
    <w:semiHidden/>
    <w:uiPriority w:val="99"/>
    <w:rPr>
      <w:rFonts w:ascii="仿宋" w:hAnsi="仿宋" w:eastAsia="仿宋" w:cs="仿宋"/>
      <w:sz w:val="18"/>
      <w:szCs w:val="18"/>
    </w:rPr>
  </w:style>
  <w:style w:type="character" w:customStyle="1" w:styleId="12">
    <w:name w:val="页脚 Char"/>
    <w:basedOn w:val="6"/>
    <w:link w:val="3"/>
    <w:semiHidden/>
    <w:qFormat/>
    <w:uiPriority w:val="99"/>
    <w:rPr>
      <w:rFonts w:ascii="仿宋" w:hAnsi="仿宋" w:eastAsia="仿宋" w:cs="仿宋"/>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3562</Words>
  <Characters>3784</Characters>
  <Lines>28</Lines>
  <Paragraphs>8</Paragraphs>
  <TotalTime>28</TotalTime>
  <ScaleCrop>false</ScaleCrop>
  <LinksUpToDate>false</LinksUpToDate>
  <CharactersWithSpaces>3951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2022-09-22T01:09:00Z</dcterms:created>
  <dc:creator>Administrator</dc:creator>
  <cp:lastModifiedBy>遥望那万丈光芒</cp:lastModifiedBy>
  <dcterms:modified xsi:type="dcterms:W3CDTF">2022-10-27T09:09:37Z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Aspose Ltd.</vt:lpwstr>
  </property>
  <property fmtid="{D5CDD505-2E9C-101B-9397-08002B2CF9AE}" pid="3" name="LastSaved">
    <vt:filetime>2022-09-20T00:00:00Z</vt:filetime>
  </property>
  <property fmtid="{D5CDD505-2E9C-101B-9397-08002B2CF9AE}" pid="4" name="KSOProductBuildVer">
    <vt:lpwstr>2052-11.1.0.12598</vt:lpwstr>
  </property>
  <property fmtid="{D5CDD505-2E9C-101B-9397-08002B2CF9AE}" pid="5" name="ICV">
    <vt:lpwstr>AB355F4BBDCE4AF89737F61B913F76AA</vt:lpwstr>
  </property>
</Properties>
</file>