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ascii="黑体" w:hAnsi="黑体" w:eastAsia="黑体" w:cs="黑体"/>
        </w:rPr>
      </w:pPr>
      <w:r>
        <w:rPr>
          <w:rFonts w:hint="eastAsia" w:ascii="黑体" w:hAnsi="黑体" w:eastAsia="黑体" w:cs="黑体"/>
        </w:rPr>
        <w:t>景德镇市</w:t>
      </w:r>
      <w:r>
        <w:rPr>
          <w:rFonts w:hint="eastAsia" w:ascii="黑体" w:hAnsi="黑体" w:eastAsia="黑体" w:cs="黑体"/>
          <w:lang w:val="en-US" w:eastAsia="zh-CN"/>
        </w:rPr>
        <w:t>国资委</w:t>
      </w:r>
      <w:r>
        <w:rPr>
          <w:rFonts w:hint="eastAsia" w:ascii="黑体" w:hAnsi="黑体" w:eastAsia="黑体" w:cs="黑体"/>
        </w:rPr>
        <w:t>2021年部门预算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国资委</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国资委</w:t>
      </w:r>
      <w:r>
        <w:rPr>
          <w:rFonts w:hint="eastAsia" w:ascii="黑体" w:hAnsi="宋体" w:eastAsia="黑体" w:cs="黑体"/>
          <w:sz w:val="32"/>
          <w:szCs w:val="32"/>
        </w:rPr>
        <w:t>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 w:hAnsi="仿宋" w:eastAsia="仿宋" w:cs="仿宋"/>
          <w:i w:val="0"/>
          <w:iCs w:val="0"/>
          <w:caps w:val="0"/>
          <w:color w:val="333333"/>
          <w:spacing w:val="0"/>
          <w:sz w:val="32"/>
          <w:szCs w:val="32"/>
          <w:shd w:val="clear" w:fill="FFFFFF"/>
        </w:rPr>
        <w:t>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市国资委</w:t>
      </w:r>
      <w:r>
        <w:rPr>
          <w:rFonts w:hint="eastAsia" w:ascii="黑体" w:hAnsi="宋体" w:eastAsia="黑体" w:cs="黑体"/>
          <w:sz w:val="32"/>
          <w:szCs w:val="32"/>
        </w:rPr>
        <w:t>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val="en-US" w:eastAsia="zh-CN"/>
        </w:rPr>
        <w:t>国资委</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pStyle w:val="7"/>
        <w:widowControl/>
        <w:spacing w:beforeAutospacing="0" w:afterAutospacing="0" w:line="375" w:lineRule="atLeast"/>
        <w:ind w:left="638" w:leftChars="304" w:firstLine="0" w:firstLineChars="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市国资委</w:t>
      </w:r>
      <w:r>
        <w:rPr>
          <w:rFonts w:hint="eastAsia" w:ascii="仿宋_GB2312" w:hAnsi="宋体" w:eastAsia="仿宋_GB2312" w:cs="仿宋_GB2312"/>
          <w:sz w:val="32"/>
          <w:szCs w:val="32"/>
        </w:rPr>
        <w:t>是主管工作的市政府组成部门，主要职责</w:t>
      </w:r>
      <w:r>
        <w:rPr>
          <w:rFonts w:hint="eastAsia" w:ascii="仿宋_GB2312" w:hAnsi="宋体" w:eastAsia="仿宋_GB2312" w:cs="仿宋_GB2312"/>
          <w:sz w:val="32"/>
          <w:szCs w:val="32"/>
          <w:lang w:val="en-US" w:eastAsia="zh-CN"/>
        </w:rPr>
        <w:t>:</w:t>
      </w:r>
    </w:p>
    <w:p>
      <w:pPr>
        <w:pStyle w:val="7"/>
        <w:widowControl/>
        <w:spacing w:beforeAutospacing="0" w:afterAutospacing="0" w:line="375" w:lineRule="atLeas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一）根据市政府授权，依照《中华人民共和国公司法》、《企业国有资产法》等法律和行政法规，代表市政府履行国有资产出资人职责，指导、推进国有企业的改革和重组；对所监管企业国有资产的保值增值进行监督，负责监缴所监管企业国有资本金收益，加强固有资产的管理工作；推进国有企业的现代企业制度建设，完善公司治理结构；推动国有经济结构和布局的战略性调整。</w:t>
      </w:r>
    </w:p>
    <w:p>
      <w:pPr>
        <w:pStyle w:val="7"/>
        <w:widowControl/>
        <w:spacing w:beforeAutospacing="0" w:afterAutospacing="0" w:line="375" w:lineRule="atLeas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）通过法定程序对市属企业负责人进行任免、考核，并根据其经营业绩进行奖惩；建立符合社会主义市场经济体制和现代企业制度要求的选人、用人机制，完善经营者激励和约束制度。</w:t>
      </w:r>
    </w:p>
    <w:p>
      <w:pPr>
        <w:pStyle w:val="7"/>
        <w:widowControl/>
        <w:spacing w:beforeAutospacing="0" w:afterAutospacing="0" w:line="375" w:lineRule="atLeas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）履行市委规定的企业党的建设方面的职责。</w:t>
      </w:r>
    </w:p>
    <w:p>
      <w:pPr>
        <w:pStyle w:val="7"/>
        <w:widowControl/>
        <w:spacing w:beforeAutospacing="0" w:afterAutospacing="0" w:line="375" w:lineRule="atLeas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rPr>
        <w:t>）通过统计、稽核等方式对所监管国有资产的保值增值情况进行监管；建立和完善国有资产保值增值指标体系，拟订考核标准。</w:t>
      </w:r>
    </w:p>
    <w:p>
      <w:pPr>
        <w:pStyle w:val="7"/>
        <w:widowControl/>
        <w:spacing w:beforeAutospacing="0" w:afterAutospacing="0" w:line="375" w:lineRule="atLeas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五</w:t>
      </w:r>
      <w:r>
        <w:rPr>
          <w:rFonts w:hint="eastAsia" w:ascii="仿宋" w:hAnsi="仿宋" w:eastAsia="仿宋" w:cs="仿宋"/>
          <w:color w:val="000000"/>
          <w:sz w:val="32"/>
          <w:szCs w:val="32"/>
        </w:rPr>
        <w:t>）负责监管企业工资分配的管理工作，拟订所监管企业负责人的薪酬制度和激励方式并组织实施。</w:t>
      </w:r>
    </w:p>
    <w:p>
      <w:pPr>
        <w:pStyle w:val="7"/>
        <w:widowControl/>
        <w:spacing w:beforeAutospacing="0" w:afterAutospacing="0" w:line="375" w:lineRule="atLeas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六</w:t>
      </w:r>
      <w:r>
        <w:rPr>
          <w:rFonts w:hint="eastAsia" w:ascii="仿宋" w:hAnsi="仿宋" w:eastAsia="仿宋" w:cs="仿宋"/>
          <w:color w:val="000000"/>
          <w:sz w:val="32"/>
          <w:szCs w:val="32"/>
        </w:rPr>
        <w:t>）监管地方金融企业和行政事业单位的固有资产。</w:t>
      </w:r>
    </w:p>
    <w:p>
      <w:pPr>
        <w:pStyle w:val="7"/>
        <w:widowControl/>
        <w:spacing w:beforeAutospacing="0" w:afterAutospacing="0" w:line="375" w:lineRule="atLeas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七</w:t>
      </w:r>
      <w:r>
        <w:rPr>
          <w:rFonts w:hint="eastAsia" w:ascii="仿宋" w:hAnsi="仿宋" w:eastAsia="仿宋" w:cs="仿宋"/>
          <w:color w:val="000000"/>
          <w:sz w:val="32"/>
          <w:szCs w:val="32"/>
        </w:rPr>
        <w:t>）负责拟订国有企业经营者收入的政策，审核市属国有企业的工资总额和主要负责人的工资标准。</w:t>
      </w:r>
    </w:p>
    <w:p>
      <w:pPr>
        <w:pStyle w:val="7"/>
        <w:widowControl/>
        <w:spacing w:beforeAutospacing="0" w:afterAutospacing="0" w:line="375" w:lineRule="atLeast"/>
        <w:ind w:firstLine="640"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八</w:t>
      </w:r>
      <w:r>
        <w:rPr>
          <w:rFonts w:hint="eastAsia" w:ascii="仿宋" w:hAnsi="仿宋" w:eastAsia="仿宋" w:cs="仿宋"/>
          <w:color w:val="000000"/>
          <w:sz w:val="32"/>
          <w:szCs w:val="32"/>
        </w:rPr>
        <w:t>）起草企业（含地方金融企业）和行政事业单位固定资产管理的地方性实施意见和管理办法，制定有关制度。</w:t>
      </w:r>
      <w:r>
        <w:rPr>
          <w:rFonts w:hint="eastAsia" w:ascii="仿宋" w:hAnsi="仿宋" w:eastAsia="仿宋" w:cs="仿宋"/>
          <w:color w:val="000000"/>
          <w:sz w:val="32"/>
          <w:szCs w:val="32"/>
          <w:lang w:val="en-US" w:eastAsia="zh-CN"/>
        </w:rPr>
        <w:t xml:space="preserve">   </w:t>
      </w:r>
    </w:p>
    <w:p>
      <w:pPr>
        <w:pStyle w:val="7"/>
        <w:widowControl/>
        <w:spacing w:beforeAutospacing="0" w:afterAutospacing="0" w:line="375" w:lineRule="atLeas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九</w:t>
      </w:r>
      <w:r>
        <w:rPr>
          <w:rFonts w:hint="eastAsia" w:ascii="仿宋" w:hAnsi="仿宋" w:eastAsia="仿宋" w:cs="仿宋"/>
          <w:color w:val="000000"/>
          <w:sz w:val="32"/>
          <w:szCs w:val="32"/>
        </w:rPr>
        <w:t>）负责全市产权交易的宏观管理、监督、协调和指导。</w:t>
      </w:r>
    </w:p>
    <w:p>
      <w:pPr>
        <w:pStyle w:val="7"/>
        <w:widowControl/>
        <w:spacing w:beforeAutospacing="0" w:afterAutospacing="0" w:line="375" w:lineRule="atLeas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（十）按照出资人职责，负责督促检查所监管企业贯彻落实国家安全生产方针政策及有关法律法规、标准等工作。</w:t>
      </w:r>
    </w:p>
    <w:p>
      <w:pPr>
        <w:pStyle w:val="7"/>
        <w:widowControl/>
        <w:spacing w:beforeAutospacing="0" w:afterAutospacing="0" w:line="375" w:lineRule="atLeas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（十</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）依法对县（市、区）国有资产管理工作进行指导和监督。</w:t>
      </w:r>
    </w:p>
    <w:p>
      <w:pPr>
        <w:pStyle w:val="7"/>
        <w:widowControl/>
        <w:spacing w:beforeAutospacing="0" w:afterAutospacing="0" w:line="375" w:lineRule="atLeast"/>
        <w:ind w:firstLine="640" w:firstLineChars="200"/>
        <w:jc w:val="both"/>
        <w:rPr>
          <w:rFonts w:ascii="仿宋" w:hAnsi="仿宋" w:eastAsia="仿宋" w:cs="仿宋"/>
          <w:sz w:val="32"/>
          <w:szCs w:val="32"/>
        </w:rPr>
      </w:pPr>
      <w:r>
        <w:rPr>
          <w:rFonts w:hint="eastAsia" w:ascii="仿宋" w:hAnsi="仿宋" w:eastAsia="仿宋" w:cs="仿宋"/>
          <w:color w:val="000000"/>
          <w:sz w:val="32"/>
          <w:szCs w:val="32"/>
        </w:rPr>
        <w:t>（十</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）承办市政府交办的其他事项。</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二、部门</w:t>
      </w:r>
      <w:r>
        <w:rPr>
          <w:rFonts w:hint="eastAsia" w:ascii="仿宋_GB2312" w:hAnsi="宋体" w:eastAsia="仿宋_GB2312" w:cs="仿宋_GB2312"/>
          <w:b/>
          <w:bCs/>
          <w:sz w:val="32"/>
          <w:szCs w:val="32"/>
          <w:lang w:eastAsia="zh-CN"/>
        </w:rPr>
        <w:t>机构设置等基本</w:t>
      </w:r>
      <w:r>
        <w:rPr>
          <w:rFonts w:hint="eastAsia" w:ascii="仿宋_GB2312" w:hAnsi="宋体" w:eastAsia="仿宋_GB2312" w:cs="仿宋_GB2312"/>
          <w:b/>
          <w:bCs/>
          <w:sz w:val="32"/>
          <w:szCs w:val="32"/>
        </w:rPr>
        <w:t>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市国资委</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个，包括</w:t>
      </w:r>
      <w:r>
        <w:rPr>
          <w:rFonts w:hint="eastAsia" w:ascii="仿宋_GB2312" w:hAnsi="宋体" w:eastAsia="仿宋_GB2312" w:cs="仿宋_GB2312"/>
          <w:sz w:val="32"/>
          <w:szCs w:val="32"/>
          <w:lang w:val="en-US" w:eastAsia="zh-CN"/>
        </w:rPr>
        <w:t>市国资委</w:t>
      </w:r>
      <w:r>
        <w:rPr>
          <w:rFonts w:hint="eastAsia" w:ascii="仿宋_GB2312" w:hAnsi="宋体" w:eastAsia="仿宋_GB2312" w:cs="仿宋_GB2312"/>
          <w:sz w:val="32"/>
          <w:szCs w:val="32"/>
        </w:rPr>
        <w:t>本级和</w:t>
      </w:r>
      <w:r>
        <w:rPr>
          <w:rFonts w:hint="eastAsia" w:ascii="仿宋_GB2312" w:hAnsi="宋体" w:eastAsia="仿宋_GB2312" w:cs="仿宋_GB2312"/>
          <w:sz w:val="32"/>
          <w:szCs w:val="32"/>
          <w:lang w:val="en-US" w:eastAsia="zh-CN"/>
        </w:rPr>
        <w:t>市监事会工作办公室、市国资中心</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38</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20</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45</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37</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21</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16</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8</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市国资委</w:t>
      </w:r>
      <w:r>
        <w:rPr>
          <w:rFonts w:hint="eastAsia" w:ascii="黑体" w:hAnsi="宋体" w:eastAsia="黑体" w:cs="黑体"/>
          <w:sz w:val="32"/>
          <w:szCs w:val="32"/>
        </w:rPr>
        <w:t>2021年部门预算情况说明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val="en-US" w:eastAsia="zh-CN"/>
        </w:rPr>
        <w:t>市国资委</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616.94</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减少249.85万元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主要原因：上年结转数减少</w:t>
      </w:r>
      <w:r>
        <w:rPr>
          <w:rFonts w:hint="eastAsia" w:ascii="仿宋_GB2312" w:hAnsi="宋体" w:eastAsia="仿宋_GB2312" w:cs="仿宋_GB2312"/>
          <w:sz w:val="32"/>
          <w:szCs w:val="32"/>
        </w:rPr>
        <w:t>。其中：当年公共财政拨款收入</w:t>
      </w:r>
      <w:r>
        <w:rPr>
          <w:rFonts w:hint="eastAsia" w:ascii="仿宋_GB2312" w:hAnsi="宋体" w:eastAsia="仿宋_GB2312" w:cs="仿宋_GB2312"/>
          <w:sz w:val="32"/>
          <w:szCs w:val="32"/>
          <w:lang w:val="en-US" w:eastAsia="zh-CN"/>
        </w:rPr>
        <w:t>616.94</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val="en-US" w:eastAsia="zh-CN"/>
        </w:rPr>
        <w:t>市国资委</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616.94</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减少249.85万元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主要原因：上年结转数减少</w:t>
      </w:r>
      <w:r>
        <w:rPr>
          <w:rFonts w:hint="eastAsia" w:ascii="仿宋_GB2312" w:hAnsi="宋体" w:eastAsia="仿宋_GB2312" w:cs="仿宋_GB2312"/>
          <w:sz w:val="32"/>
          <w:szCs w:val="32"/>
        </w:rPr>
        <w:t>。其中</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按支出项目类别划分：基本支出</w:t>
      </w:r>
      <w:r>
        <w:rPr>
          <w:rFonts w:hint="eastAsia" w:ascii="仿宋_GB2312" w:hAnsi="宋体" w:eastAsia="仿宋_GB2312" w:cs="仿宋_GB2312"/>
          <w:sz w:val="32"/>
          <w:szCs w:val="32"/>
          <w:lang w:val="en-US" w:eastAsia="zh-CN"/>
        </w:rPr>
        <w:t>616.94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523.07</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92.79</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1.08</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val="en-US" w:eastAsia="zh-CN"/>
        </w:rPr>
        <w:t>社会保障和就业支出39.19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6.35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26.52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4.30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资源勘探信息等支出506.55万元，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82.11</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住房保障支出44.68万元，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7.24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523.07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84.78</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92.79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15.04</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对个人和家庭的补助1.08万元，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0.18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val="en-US" w:eastAsia="zh-CN"/>
        </w:rPr>
        <w:t>市国资委</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616.94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减少249.85万元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主要原因：上年结转减少</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val="en-US" w:eastAsia="zh-CN"/>
        </w:rPr>
        <w:t>社会保障和就业支出39.19</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6.35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卫生健康支出26.52</w:t>
      </w:r>
      <w:r>
        <w:rPr>
          <w:rFonts w:hint="eastAsia" w:ascii="仿宋_GB2312" w:hAnsi="宋体" w:eastAsia="仿宋_GB2312" w:cs="仿宋_GB2312"/>
          <w:sz w:val="32"/>
          <w:szCs w:val="32"/>
        </w:rPr>
        <w:t>万元，占财政拨款支出</w:t>
      </w:r>
      <w:r>
        <w:rPr>
          <w:rFonts w:hint="eastAsia" w:ascii="仿宋_GB2312" w:hAnsi="宋体" w:eastAsia="仿宋_GB2312" w:cs="仿宋_GB2312"/>
          <w:sz w:val="32"/>
          <w:szCs w:val="32"/>
          <w:lang w:val="en-US" w:eastAsia="zh-CN"/>
        </w:rPr>
        <w:t>的4.30</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;资源勘探信息等支出506.55万元，占财政拨款支出的82.11%;住房保障支出44.68万元，占公共财政拨款支出的7.24%。</w:t>
      </w:r>
    </w:p>
    <w:p>
      <w:pPr>
        <w:tabs>
          <w:tab w:val="left" w:pos="1162"/>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四</w:t>
      </w:r>
      <w:r>
        <w:rPr>
          <w:rFonts w:hint="eastAsia" w:ascii="仿宋_GB2312" w:hAnsi="宋体" w:eastAsia="仿宋_GB2312" w:cs="仿宋_GB2312"/>
          <w:b/>
          <w:bCs/>
          <w:sz w:val="32"/>
          <w:szCs w:val="32"/>
        </w:rPr>
        <w:t>）政府基金收支情况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无政府基金收支预算。</w:t>
      </w:r>
    </w:p>
    <w:p>
      <w:pPr>
        <w:ind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val="en-US" w:eastAsia="zh-CN"/>
        </w:rPr>
        <w:t>（五）</w:t>
      </w:r>
      <w:r>
        <w:rPr>
          <w:rFonts w:hint="eastAsia" w:ascii="仿宋_GB2312" w:hAnsi="宋体" w:eastAsia="仿宋_GB2312" w:cs="仿宋_GB2312"/>
          <w:b/>
          <w:bCs/>
          <w:sz w:val="32"/>
          <w:szCs w:val="32"/>
          <w:lang w:eastAsia="zh-CN"/>
        </w:rPr>
        <w:t>机关运行经费情况说明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val="en-US" w:eastAsia="zh-CN"/>
        </w:rPr>
        <w:t>市国资委</w:t>
      </w:r>
      <w:r>
        <w:rPr>
          <w:rFonts w:hint="eastAsia" w:ascii="仿宋_GB2312" w:hAnsi="宋体" w:eastAsia="仿宋_GB2312" w:cs="仿宋_GB2312"/>
          <w:sz w:val="32"/>
          <w:szCs w:val="32"/>
        </w:rPr>
        <w:t>机关运行经费预算</w:t>
      </w:r>
      <w:r>
        <w:rPr>
          <w:rFonts w:hint="eastAsia" w:ascii="仿宋_GB2312" w:hAnsi="宋体" w:eastAsia="仿宋_GB2312" w:cs="仿宋_GB2312"/>
          <w:sz w:val="32"/>
          <w:szCs w:val="32"/>
          <w:lang w:val="en-US" w:eastAsia="zh-CN"/>
        </w:rPr>
        <w:t>92.79</w:t>
      </w:r>
      <w:r>
        <w:rPr>
          <w:rFonts w:hint="eastAsia" w:ascii="仿宋_GB2312" w:hAnsi="宋体" w:eastAsia="仿宋_GB2312" w:cs="仿宋_GB2312"/>
          <w:sz w:val="32"/>
          <w:szCs w:val="32"/>
        </w:rPr>
        <w:t>万元，与上年预算数</w:t>
      </w:r>
      <w:r>
        <w:rPr>
          <w:rFonts w:hint="eastAsia" w:ascii="仿宋_GB2312" w:hAnsi="宋体" w:eastAsia="仿宋_GB2312" w:cs="仿宋_GB2312"/>
          <w:sz w:val="32"/>
          <w:szCs w:val="32"/>
          <w:lang w:val="en-US" w:eastAsia="zh-CN"/>
        </w:rPr>
        <w:t>相比增加35.19万元，主要原因是：办公费和其他交通费增加。</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lang w:val="en-US" w:eastAsia="zh-CN"/>
        </w:rPr>
        <w:t>（六）</w:t>
      </w:r>
      <w:r>
        <w:rPr>
          <w:rFonts w:hint="eastAsia" w:ascii="仿宋_GB2312" w:hAnsi="宋体" w:eastAsia="仿宋_GB2312" w:cs="仿宋_GB2312"/>
          <w:b/>
          <w:bCs/>
          <w:sz w:val="32"/>
          <w:szCs w:val="32"/>
        </w:rPr>
        <w:t>政府采购预算情况</w:t>
      </w:r>
    </w:p>
    <w:p>
      <w:pPr>
        <w:ind w:firstLine="640" w:firstLineChars="200"/>
        <w:rPr>
          <w:rFonts w:hint="default" w:ascii="仿宋_GB2312" w:eastAsia="仿宋_GB2312" w:cs="Times New Roman"/>
          <w:sz w:val="32"/>
          <w:szCs w:val="32"/>
          <w:lang w:val="en-US"/>
        </w:rPr>
      </w:pPr>
      <w:r>
        <w:rPr>
          <w:rFonts w:hint="eastAsia" w:ascii="仿宋_GB2312" w:hAnsi="宋体" w:eastAsia="仿宋_GB2312" w:cs="仿宋_GB2312"/>
          <w:sz w:val="32"/>
          <w:szCs w:val="32"/>
          <w:lang w:val="en-US" w:eastAsia="zh-CN"/>
        </w:rPr>
        <w:t>2021年市国资委政府采购预算为25万元，其中部门集中采购25万元与上一年度相比减少25万元，主要原因：上一年度更换了一批办公设备。政府购买服务5.18万元，比上一年度相比减少了56.32万元。</w:t>
      </w:r>
    </w:p>
    <w:p>
      <w:pPr>
        <w:numPr>
          <w:numId w:val="0"/>
        </w:numPr>
        <w:ind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w:t>
      </w:r>
      <w:r>
        <w:rPr>
          <w:rFonts w:hint="eastAsia" w:ascii="仿宋_GB2312" w:hAnsi="宋体" w:eastAsia="仿宋_GB2312" w:cs="仿宋_GB2312"/>
          <w:b/>
          <w:bCs/>
          <w:sz w:val="32"/>
          <w:szCs w:val="32"/>
          <w:lang w:val="en-US" w:eastAsia="zh-CN"/>
        </w:rPr>
        <w:t>七）</w:t>
      </w:r>
      <w:r>
        <w:rPr>
          <w:rFonts w:hint="eastAsia" w:ascii="仿宋_GB2312" w:hAnsi="宋体" w:eastAsia="仿宋_GB2312" w:cs="仿宋_GB2312"/>
          <w:b/>
          <w:bCs/>
          <w:sz w:val="32"/>
          <w:szCs w:val="32"/>
          <w:lang w:eastAsia="zh-CN"/>
        </w:rPr>
        <w:t>国有资产占用情况说明</w:t>
      </w:r>
    </w:p>
    <w:p>
      <w:pPr>
        <w:ind w:firstLine="630"/>
        <w:jc w:val="left"/>
        <w:rPr>
          <w:rFonts w:hint="eastAsia" w:ascii="仿宋_GB2312" w:hAnsi="宋体" w:eastAsia="仿宋_GB2312" w:cs="仿宋_GB2312"/>
          <w:b/>
          <w:bCs/>
          <w:sz w:val="32"/>
          <w:szCs w:val="32"/>
          <w:lang w:eastAsia="zh-CN"/>
        </w:rPr>
      </w:pPr>
      <w:r>
        <w:rPr>
          <w:rFonts w:hint="eastAsia" w:ascii="仿宋" w:hAnsi="仿宋" w:eastAsia="仿宋"/>
          <w:kern w:val="0"/>
          <w:sz w:val="30"/>
          <w:szCs w:val="30"/>
        </w:rPr>
        <w:t>20</w:t>
      </w:r>
      <w:r>
        <w:rPr>
          <w:rFonts w:hint="eastAsia" w:ascii="仿宋" w:hAnsi="仿宋" w:eastAsia="仿宋"/>
          <w:kern w:val="0"/>
          <w:sz w:val="30"/>
          <w:szCs w:val="30"/>
          <w:lang w:val="en-US" w:eastAsia="zh-CN"/>
        </w:rPr>
        <w:t>21</w:t>
      </w:r>
      <w:r>
        <w:rPr>
          <w:rFonts w:hint="eastAsia" w:ascii="仿宋" w:hAnsi="仿宋" w:eastAsia="仿宋"/>
          <w:kern w:val="0"/>
          <w:sz w:val="30"/>
          <w:szCs w:val="30"/>
        </w:rPr>
        <w:t xml:space="preserve">年本部门共有车辆 </w:t>
      </w:r>
      <w:r>
        <w:rPr>
          <w:rFonts w:hint="eastAsia" w:ascii="仿宋_GB2312" w:hAnsi="宋体" w:eastAsia="仿宋_GB2312" w:cs="仿宋_GB2312"/>
          <w:sz w:val="32"/>
          <w:szCs w:val="32"/>
          <w:lang w:val="en-US" w:eastAsia="zh-CN"/>
        </w:rPr>
        <w:t xml:space="preserve">0 </w:t>
      </w:r>
      <w:r>
        <w:rPr>
          <w:rFonts w:hint="eastAsia" w:ascii="仿宋" w:hAnsi="仿宋" w:eastAsia="仿宋"/>
          <w:kern w:val="0"/>
          <w:sz w:val="30"/>
          <w:szCs w:val="30"/>
        </w:rPr>
        <w:t>辆；单位价值50万元以上通用设备</w:t>
      </w:r>
      <w:r>
        <w:rPr>
          <w:rFonts w:hint="eastAsia" w:ascii="仿宋_GB2312" w:hAnsi="宋体" w:eastAsia="仿宋_GB2312" w:cs="仿宋_GB2312"/>
          <w:sz w:val="32"/>
          <w:szCs w:val="32"/>
          <w:lang w:val="en-US" w:eastAsia="zh-CN"/>
        </w:rPr>
        <w:t>0</w:t>
      </w:r>
      <w:r>
        <w:rPr>
          <w:rFonts w:hint="eastAsia" w:ascii="仿宋" w:hAnsi="仿宋" w:eastAsia="仿宋"/>
          <w:kern w:val="0"/>
          <w:sz w:val="30"/>
          <w:szCs w:val="30"/>
        </w:rPr>
        <w:t>台；单位价值100万元以上专用设备</w:t>
      </w:r>
      <w:r>
        <w:rPr>
          <w:rFonts w:hint="eastAsia" w:ascii="仿宋_GB2312" w:hAnsi="宋体" w:eastAsia="仿宋_GB2312" w:cs="仿宋_GB2312"/>
          <w:sz w:val="32"/>
          <w:szCs w:val="32"/>
          <w:lang w:val="en-US" w:eastAsia="zh-CN"/>
        </w:rPr>
        <w:t>0</w:t>
      </w:r>
      <w:r>
        <w:rPr>
          <w:rFonts w:hint="eastAsia" w:ascii="仿宋" w:hAnsi="仿宋" w:eastAsia="仿宋"/>
          <w:kern w:val="0"/>
          <w:sz w:val="30"/>
          <w:szCs w:val="30"/>
        </w:rPr>
        <w:t>台。</w:t>
      </w:r>
    </w:p>
    <w:p>
      <w:pPr>
        <w:widowControl/>
        <w:numPr>
          <w:ilvl w:val="0"/>
          <w:numId w:val="1"/>
        </w:numPr>
        <w:spacing w:line="600" w:lineRule="exact"/>
        <w:ind w:firstLine="643" w:firstLineChars="200"/>
        <w:jc w:val="left"/>
        <w:rPr>
          <w:rFonts w:hint="eastAsia" w:ascii="仿宋_GB2312" w:eastAsia="仿宋_GB2312"/>
          <w:b/>
          <w:color w:val="000000"/>
          <w:sz w:val="32"/>
          <w:szCs w:val="30"/>
        </w:rPr>
      </w:pP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numPr>
          <w:numId w:val="0"/>
        </w:numPr>
        <w:spacing w:line="600" w:lineRule="exact"/>
        <w:ind w:firstLine="640" w:firstLineChars="200"/>
        <w:jc w:val="left"/>
        <w:rPr>
          <w:rFonts w:hint="default" w:ascii="仿宋_GB2312" w:eastAsia="仿宋_GB2312"/>
          <w:b w:val="0"/>
          <w:bCs/>
          <w:color w:val="000000"/>
          <w:sz w:val="32"/>
          <w:szCs w:val="30"/>
          <w:lang w:val="en-US" w:eastAsia="zh-CN"/>
        </w:rPr>
      </w:pPr>
      <w:r>
        <w:rPr>
          <w:rFonts w:hint="eastAsia" w:ascii="仿宋_GB2312" w:eastAsia="仿宋_GB2312"/>
          <w:b w:val="0"/>
          <w:bCs/>
          <w:color w:val="000000"/>
          <w:sz w:val="32"/>
          <w:szCs w:val="30"/>
          <w:lang w:val="en-US" w:eastAsia="zh-CN"/>
        </w:rPr>
        <w:t>本单位无绩效目标预算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二、</w:t>
      </w:r>
      <w:r>
        <w:rPr>
          <w:rFonts w:hint="eastAsia" w:ascii="仿宋_GB2312" w:hAnsi="宋体" w:eastAsia="仿宋_GB2312" w:cs="仿宋_GB2312"/>
          <w:b/>
          <w:bCs/>
          <w:sz w:val="32"/>
          <w:szCs w:val="32"/>
        </w:rPr>
        <w:t>2021年“三公”经费预算</w:t>
      </w:r>
      <w:r>
        <w:rPr>
          <w:rFonts w:hint="eastAsia" w:ascii="仿宋_GB2312" w:hAnsi="宋体" w:eastAsia="仿宋_GB2312" w:cs="仿宋_GB2312"/>
          <w:b/>
          <w:bCs/>
          <w:sz w:val="32"/>
          <w:szCs w:val="32"/>
          <w:lang w:eastAsia="zh-CN"/>
        </w:rPr>
        <w:t>增减变化原因</w:t>
      </w:r>
      <w:r>
        <w:rPr>
          <w:rFonts w:hint="eastAsia" w:ascii="仿宋_GB2312" w:hAnsi="宋体" w:eastAsia="仿宋_GB2312" w:cs="仿宋_GB2312"/>
          <w:b/>
          <w:bCs/>
          <w:sz w:val="32"/>
          <w:szCs w:val="32"/>
        </w:rPr>
        <w:t>情况说明</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2021年市</w:t>
      </w:r>
      <w:r>
        <w:rPr>
          <w:rFonts w:hint="eastAsia" w:ascii="仿宋_GB2312" w:hAnsi="宋体" w:eastAsia="仿宋_GB2312" w:cs="仿宋_GB2312"/>
          <w:sz w:val="32"/>
          <w:szCs w:val="32"/>
          <w:lang w:val="en-US" w:eastAsia="zh-CN"/>
        </w:rPr>
        <w:t>国资委</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1.5</w:t>
      </w:r>
      <w:r>
        <w:rPr>
          <w:rFonts w:hint="eastAsia" w:ascii="仿宋_GB2312" w:hAnsi="宋体" w:eastAsia="仿宋_GB2312" w:cs="仿宋_GB2312"/>
          <w:sz w:val="32"/>
          <w:szCs w:val="32"/>
        </w:rPr>
        <w:t>万元。其中：</w:t>
      </w:r>
      <w:r>
        <w:rPr>
          <w:rFonts w:hint="eastAsia" w:ascii="仿宋_GB2312" w:hAnsi="宋体" w:eastAsia="仿宋_GB2312" w:cs="仿宋_GB2312"/>
          <w:sz w:val="32"/>
          <w:szCs w:val="32"/>
          <w:lang w:val="en-US" w:eastAsia="zh-CN"/>
        </w:rPr>
        <w:t>公务接待费1.5万元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与</w:t>
      </w:r>
      <w:r>
        <w:rPr>
          <w:rFonts w:hint="eastAsia" w:ascii="仿宋_GB2312" w:hAnsi="宋体" w:eastAsia="仿宋_GB2312" w:cs="仿宋_GB2312"/>
          <w:sz w:val="32"/>
          <w:szCs w:val="32"/>
        </w:rPr>
        <w:t>上年</w:t>
      </w:r>
      <w:r>
        <w:rPr>
          <w:rFonts w:hint="eastAsia" w:ascii="仿宋_GB2312" w:hAnsi="宋体" w:eastAsia="仿宋_GB2312" w:cs="仿宋_GB2312"/>
          <w:sz w:val="32"/>
          <w:szCs w:val="32"/>
          <w:lang w:val="en-US" w:eastAsia="zh-CN"/>
        </w:rPr>
        <w:t>一致;</w:t>
      </w: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与</w:t>
      </w:r>
      <w:r>
        <w:rPr>
          <w:rFonts w:hint="eastAsia" w:ascii="仿宋_GB2312" w:hAnsi="宋体" w:eastAsia="仿宋_GB2312" w:cs="仿宋_GB2312"/>
          <w:sz w:val="32"/>
          <w:szCs w:val="32"/>
        </w:rPr>
        <w:t>上年</w:t>
      </w:r>
      <w:r>
        <w:rPr>
          <w:rFonts w:hint="eastAsia" w:ascii="仿宋_GB2312" w:hAnsi="宋体" w:eastAsia="仿宋_GB2312" w:cs="仿宋_GB2312"/>
          <w:sz w:val="32"/>
          <w:szCs w:val="32"/>
          <w:lang w:val="en-US" w:eastAsia="zh-CN"/>
        </w:rPr>
        <w:t>一致；</w:t>
      </w: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与</w:t>
      </w:r>
      <w:r>
        <w:rPr>
          <w:rFonts w:hint="eastAsia" w:ascii="仿宋_GB2312" w:hAnsi="宋体" w:eastAsia="仿宋_GB2312" w:cs="仿宋_GB2312"/>
          <w:sz w:val="32"/>
          <w:szCs w:val="32"/>
        </w:rPr>
        <w:t>上年</w:t>
      </w:r>
      <w:r>
        <w:rPr>
          <w:rFonts w:hint="eastAsia" w:ascii="仿宋_GB2312" w:hAnsi="宋体" w:eastAsia="仿宋_GB2312" w:cs="仿宋_GB2312"/>
          <w:sz w:val="32"/>
          <w:szCs w:val="32"/>
          <w:lang w:val="en-US" w:eastAsia="zh-CN"/>
        </w:rPr>
        <w:t>一致。</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ascii="黑体" w:hAnsi="宋体" w:eastAsia="黑体" w:cs="黑体"/>
          <w:sz w:val="32"/>
          <w:szCs w:val="32"/>
        </w:rPr>
        <w:t xml:space="preserve"> </w:t>
      </w:r>
      <w:r>
        <w:rPr>
          <w:rFonts w:hint="eastAsia" w:ascii="黑体" w:hAnsi="宋体" w:eastAsia="黑体" w:cs="黑体"/>
          <w:sz w:val="32"/>
          <w:szCs w:val="32"/>
          <w:lang w:val="en-US" w:eastAsia="zh-CN"/>
        </w:rPr>
        <w:t>国资委</w:t>
      </w:r>
      <w:r>
        <w:rPr>
          <w:rFonts w:hint="eastAsia" w:ascii="黑体" w:hAnsi="宋体" w:eastAsia="黑体" w:cs="黑体"/>
          <w:sz w:val="32"/>
          <w:szCs w:val="32"/>
        </w:rPr>
        <w:t>2021年部门预算表</w:t>
      </w:r>
    </w:p>
    <w:p>
      <w:pPr>
        <w:rPr>
          <w:rFonts w:hint="eastAsia" w:ascii="仿宋_GB2312" w:hAnsi="宋体" w:eastAsia="仿宋_GB2312" w:cs="仿宋_GB2312"/>
          <w:sz w:val="32"/>
          <w:szCs w:val="32"/>
          <w:shd w:val="clear" w:color="FFFFFF" w:fill="D9D9D9"/>
          <w:lang w:eastAsia="zh-CN"/>
        </w:rPr>
      </w:pPr>
      <w:r>
        <w:rPr>
          <w:rFonts w:hint="eastAsia" w:ascii="仿宋_GB2312" w:hAnsi="宋体" w:eastAsia="仿宋_GB2312" w:cs="仿宋_GB2312"/>
          <w:sz w:val="32"/>
          <w:szCs w:val="32"/>
          <w:shd w:val="clear" w:color="FFFFFF" w:fill="D9D9D9"/>
          <w:lang w:eastAsia="zh-CN"/>
        </w:rPr>
        <w:drawing>
          <wp:inline distT="0" distB="0" distL="114300" distR="114300">
            <wp:extent cx="5268595" cy="2466340"/>
            <wp:effectExtent l="0" t="0" r="8255" b="10160"/>
            <wp:docPr id="1" name="图片 1" descr="16245016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4501628(1)"/>
                    <pic:cNvPicPr>
                      <a:picLocks noChangeAspect="1"/>
                    </pic:cNvPicPr>
                  </pic:nvPicPr>
                  <pic:blipFill>
                    <a:blip r:embed="rId5"/>
                    <a:stretch>
                      <a:fillRect/>
                    </a:stretch>
                  </pic:blipFill>
                  <pic:spPr>
                    <a:xfrm>
                      <a:off x="0" y="0"/>
                      <a:ext cx="5268595" cy="2466340"/>
                    </a:xfrm>
                    <a:prstGeom prst="rect">
                      <a:avLst/>
                    </a:prstGeom>
                  </pic:spPr>
                </pic:pic>
              </a:graphicData>
            </a:graphic>
          </wp:inline>
        </w:drawing>
      </w:r>
      <w:r>
        <w:rPr>
          <w:rFonts w:hint="eastAsia" w:ascii="仿宋_GB2312" w:hAnsi="宋体" w:eastAsia="仿宋_GB2312" w:cs="仿宋_GB2312"/>
          <w:sz w:val="32"/>
          <w:szCs w:val="32"/>
          <w:shd w:val="clear" w:color="FFFFFF" w:fill="D9D9D9"/>
          <w:lang w:eastAsia="zh-CN"/>
        </w:rPr>
        <w:drawing>
          <wp:inline distT="0" distB="0" distL="114300" distR="114300">
            <wp:extent cx="5269865" cy="2937510"/>
            <wp:effectExtent l="0" t="0" r="6985" b="15240"/>
            <wp:docPr id="2" name="图片 2" descr="16245016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4501690(1)"/>
                    <pic:cNvPicPr>
                      <a:picLocks noChangeAspect="1"/>
                    </pic:cNvPicPr>
                  </pic:nvPicPr>
                  <pic:blipFill>
                    <a:blip r:embed="rId6"/>
                    <a:stretch>
                      <a:fillRect/>
                    </a:stretch>
                  </pic:blipFill>
                  <pic:spPr>
                    <a:xfrm>
                      <a:off x="0" y="0"/>
                      <a:ext cx="5269865" cy="2937510"/>
                    </a:xfrm>
                    <a:prstGeom prst="rect">
                      <a:avLst/>
                    </a:prstGeom>
                  </pic:spPr>
                </pic:pic>
              </a:graphicData>
            </a:graphic>
          </wp:inline>
        </w:drawing>
      </w:r>
      <w:r>
        <w:rPr>
          <w:rFonts w:hint="eastAsia" w:ascii="仿宋_GB2312" w:hAnsi="宋体" w:eastAsia="仿宋_GB2312" w:cs="仿宋_GB2312"/>
          <w:sz w:val="32"/>
          <w:szCs w:val="32"/>
          <w:shd w:val="clear" w:color="FFFFFF" w:fill="D9D9D9"/>
          <w:lang w:eastAsia="zh-CN"/>
        </w:rPr>
        <w:drawing>
          <wp:inline distT="0" distB="0" distL="114300" distR="114300">
            <wp:extent cx="5269865" cy="2591435"/>
            <wp:effectExtent l="0" t="0" r="6985" b="18415"/>
            <wp:docPr id="3" name="图片 3" descr="162450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4501786"/>
                    <pic:cNvPicPr>
                      <a:picLocks noChangeAspect="1"/>
                    </pic:cNvPicPr>
                  </pic:nvPicPr>
                  <pic:blipFill>
                    <a:blip r:embed="rId7"/>
                    <a:stretch>
                      <a:fillRect/>
                    </a:stretch>
                  </pic:blipFill>
                  <pic:spPr>
                    <a:xfrm>
                      <a:off x="0" y="0"/>
                      <a:ext cx="5269865" cy="2591435"/>
                    </a:xfrm>
                    <a:prstGeom prst="rect">
                      <a:avLst/>
                    </a:prstGeom>
                  </pic:spPr>
                </pic:pic>
              </a:graphicData>
            </a:graphic>
          </wp:inline>
        </w:drawing>
      </w:r>
      <w:r>
        <w:rPr>
          <w:rFonts w:hint="eastAsia" w:ascii="仿宋_GB2312" w:hAnsi="宋体" w:eastAsia="仿宋_GB2312" w:cs="仿宋_GB2312"/>
          <w:sz w:val="32"/>
          <w:szCs w:val="32"/>
          <w:shd w:val="clear" w:color="FFFFFF" w:fill="D9D9D9"/>
          <w:lang w:eastAsia="zh-CN"/>
        </w:rPr>
        <w:drawing>
          <wp:inline distT="0" distB="0" distL="114300" distR="114300">
            <wp:extent cx="5272405" cy="2161540"/>
            <wp:effectExtent l="0" t="0" r="4445" b="10160"/>
            <wp:docPr id="4" name="图片 4" descr="1624501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24501825(1)"/>
                    <pic:cNvPicPr>
                      <a:picLocks noChangeAspect="1"/>
                    </pic:cNvPicPr>
                  </pic:nvPicPr>
                  <pic:blipFill>
                    <a:blip r:embed="rId8"/>
                    <a:stretch>
                      <a:fillRect/>
                    </a:stretch>
                  </pic:blipFill>
                  <pic:spPr>
                    <a:xfrm>
                      <a:off x="0" y="0"/>
                      <a:ext cx="5272405" cy="2161540"/>
                    </a:xfrm>
                    <a:prstGeom prst="rect">
                      <a:avLst/>
                    </a:prstGeom>
                  </pic:spPr>
                </pic:pic>
              </a:graphicData>
            </a:graphic>
          </wp:inline>
        </w:drawing>
      </w:r>
      <w:r>
        <w:rPr>
          <w:rFonts w:hint="eastAsia" w:ascii="仿宋_GB2312" w:hAnsi="宋体" w:eastAsia="仿宋_GB2312" w:cs="仿宋_GB2312"/>
          <w:sz w:val="32"/>
          <w:szCs w:val="32"/>
          <w:shd w:val="clear" w:color="FFFFFF" w:fill="D9D9D9"/>
          <w:lang w:eastAsia="zh-CN"/>
        </w:rPr>
        <w:drawing>
          <wp:inline distT="0" distB="0" distL="114300" distR="114300">
            <wp:extent cx="5273040" cy="2990215"/>
            <wp:effectExtent l="0" t="0" r="3810" b="635"/>
            <wp:docPr id="5" name="图片 5" descr="1624501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24501853(1)"/>
                    <pic:cNvPicPr>
                      <a:picLocks noChangeAspect="1"/>
                    </pic:cNvPicPr>
                  </pic:nvPicPr>
                  <pic:blipFill>
                    <a:blip r:embed="rId9"/>
                    <a:stretch>
                      <a:fillRect/>
                    </a:stretch>
                  </pic:blipFill>
                  <pic:spPr>
                    <a:xfrm>
                      <a:off x="0" y="0"/>
                      <a:ext cx="5273040" cy="2990215"/>
                    </a:xfrm>
                    <a:prstGeom prst="rect">
                      <a:avLst/>
                    </a:prstGeom>
                  </pic:spPr>
                </pic:pic>
              </a:graphicData>
            </a:graphic>
          </wp:inline>
        </w:drawing>
      </w:r>
    </w:p>
    <w:p>
      <w:pPr>
        <w:rPr>
          <w:rFonts w:hint="eastAsia" w:ascii="仿宋_GB2312" w:hAnsi="宋体" w:eastAsia="仿宋_GB2312" w:cs="仿宋_GB2312"/>
          <w:sz w:val="32"/>
          <w:szCs w:val="32"/>
          <w:shd w:val="clear" w:color="FFFFFF" w:fill="D9D9D9"/>
          <w:lang w:eastAsia="zh-CN"/>
        </w:rPr>
      </w:pPr>
    </w:p>
    <w:p>
      <w:pPr>
        <w:rPr>
          <w:rFonts w:hint="eastAsia" w:ascii="仿宋_GB2312" w:hAnsi="宋体" w:eastAsia="仿宋_GB2312" w:cs="仿宋_GB2312"/>
          <w:sz w:val="32"/>
          <w:szCs w:val="32"/>
          <w:shd w:val="clear" w:color="FFFFFF" w:fill="D9D9D9"/>
          <w:lang w:eastAsia="zh-CN"/>
        </w:rPr>
      </w:pPr>
    </w:p>
    <w:p>
      <w:pPr>
        <w:rPr>
          <w:rFonts w:hint="eastAsia" w:ascii="仿宋_GB2312" w:hAnsi="宋体" w:eastAsia="仿宋_GB2312" w:cs="仿宋_GB2312"/>
          <w:sz w:val="32"/>
          <w:szCs w:val="32"/>
          <w:shd w:val="clear" w:color="FFFFFF" w:fill="D9D9D9"/>
          <w:lang w:eastAsia="zh-CN"/>
        </w:rPr>
      </w:pPr>
      <w:r>
        <w:rPr>
          <w:rFonts w:hint="eastAsia" w:ascii="仿宋_GB2312" w:hAnsi="宋体" w:eastAsia="仿宋_GB2312" w:cs="仿宋_GB2312"/>
          <w:sz w:val="32"/>
          <w:szCs w:val="32"/>
          <w:shd w:val="clear" w:color="FFFFFF" w:fill="D9D9D9"/>
          <w:lang w:eastAsia="zh-CN"/>
        </w:rPr>
        <w:drawing>
          <wp:inline distT="0" distB="0" distL="114300" distR="114300">
            <wp:extent cx="5269865" cy="999490"/>
            <wp:effectExtent l="0" t="0" r="6985" b="10160"/>
            <wp:docPr id="12" name="图片 12" descr="16245019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24501930(1)"/>
                    <pic:cNvPicPr>
                      <a:picLocks noChangeAspect="1"/>
                    </pic:cNvPicPr>
                  </pic:nvPicPr>
                  <pic:blipFill>
                    <a:blip r:embed="rId10"/>
                    <a:stretch>
                      <a:fillRect/>
                    </a:stretch>
                  </pic:blipFill>
                  <pic:spPr>
                    <a:xfrm>
                      <a:off x="0" y="0"/>
                      <a:ext cx="5269865" cy="999490"/>
                    </a:xfrm>
                    <a:prstGeom prst="rect">
                      <a:avLst/>
                    </a:prstGeom>
                  </pic:spPr>
                </pic:pic>
              </a:graphicData>
            </a:graphic>
          </wp:inline>
        </w:drawing>
      </w:r>
      <w:r>
        <w:rPr>
          <w:rFonts w:hint="eastAsia" w:ascii="仿宋_GB2312" w:hAnsi="宋体" w:eastAsia="仿宋_GB2312" w:cs="仿宋_GB2312"/>
          <w:sz w:val="32"/>
          <w:szCs w:val="32"/>
          <w:shd w:val="clear" w:color="FFFFFF" w:fill="D9D9D9"/>
          <w:lang w:eastAsia="zh-CN"/>
        </w:rPr>
        <w:drawing>
          <wp:inline distT="0" distB="0" distL="114300" distR="114300">
            <wp:extent cx="5272405" cy="5883910"/>
            <wp:effectExtent l="0" t="0" r="4445" b="2540"/>
            <wp:docPr id="6" name="图片 6" descr="16245019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24501902(1)"/>
                    <pic:cNvPicPr>
                      <a:picLocks noChangeAspect="1"/>
                    </pic:cNvPicPr>
                  </pic:nvPicPr>
                  <pic:blipFill>
                    <a:blip r:embed="rId11"/>
                    <a:stretch>
                      <a:fillRect/>
                    </a:stretch>
                  </pic:blipFill>
                  <pic:spPr>
                    <a:xfrm>
                      <a:off x="0" y="0"/>
                      <a:ext cx="5272405" cy="5883910"/>
                    </a:xfrm>
                    <a:prstGeom prst="rect">
                      <a:avLst/>
                    </a:prstGeom>
                  </pic:spPr>
                </pic:pic>
              </a:graphicData>
            </a:graphic>
          </wp:inline>
        </w:drawing>
      </w:r>
      <w:r>
        <w:rPr>
          <w:rFonts w:hint="eastAsia" w:ascii="仿宋_GB2312" w:hAnsi="宋体" w:eastAsia="仿宋_GB2312" w:cs="仿宋_GB2312"/>
          <w:sz w:val="32"/>
          <w:szCs w:val="32"/>
          <w:shd w:val="clear" w:color="FFFFFF" w:fill="D9D9D9"/>
          <w:lang w:eastAsia="zh-CN"/>
        </w:rPr>
        <w:drawing>
          <wp:inline distT="0" distB="0" distL="114300" distR="114300">
            <wp:extent cx="5274310" cy="1007745"/>
            <wp:effectExtent l="0" t="0" r="2540" b="1905"/>
            <wp:docPr id="8" name="图片 8" descr="16245019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24501974(1)"/>
                    <pic:cNvPicPr>
                      <a:picLocks noChangeAspect="1"/>
                    </pic:cNvPicPr>
                  </pic:nvPicPr>
                  <pic:blipFill>
                    <a:blip r:embed="rId12"/>
                    <a:stretch>
                      <a:fillRect/>
                    </a:stretch>
                  </pic:blipFill>
                  <pic:spPr>
                    <a:xfrm>
                      <a:off x="0" y="0"/>
                      <a:ext cx="5274310" cy="1007745"/>
                    </a:xfrm>
                    <a:prstGeom prst="rect">
                      <a:avLst/>
                    </a:prstGeom>
                  </pic:spPr>
                </pic:pic>
              </a:graphicData>
            </a:graphic>
          </wp:inline>
        </w:drawing>
      </w:r>
      <w:bookmarkStart w:id="0" w:name="_GoBack"/>
      <w:bookmarkEnd w:id="0"/>
      <w:r>
        <w:rPr>
          <w:rFonts w:hint="eastAsia" w:ascii="仿宋_GB2312" w:hAnsi="宋体" w:eastAsia="仿宋_GB2312" w:cs="仿宋_GB2312"/>
          <w:sz w:val="32"/>
          <w:szCs w:val="32"/>
          <w:shd w:val="clear" w:color="FFFFFF" w:fill="D9D9D9"/>
          <w:lang w:eastAsia="zh-CN"/>
        </w:rPr>
        <w:drawing>
          <wp:inline distT="0" distB="0" distL="114300" distR="114300">
            <wp:extent cx="5270500" cy="6543040"/>
            <wp:effectExtent l="0" t="0" r="6350" b="10160"/>
            <wp:docPr id="13" name="图片 13" descr="1624515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24515110(1)"/>
                    <pic:cNvPicPr>
                      <a:picLocks noChangeAspect="1"/>
                    </pic:cNvPicPr>
                  </pic:nvPicPr>
                  <pic:blipFill>
                    <a:blip r:embed="rId13"/>
                    <a:stretch>
                      <a:fillRect/>
                    </a:stretch>
                  </pic:blipFill>
                  <pic:spPr>
                    <a:xfrm>
                      <a:off x="0" y="0"/>
                      <a:ext cx="5270500" cy="6543040"/>
                    </a:xfrm>
                    <a:prstGeom prst="rect">
                      <a:avLst/>
                    </a:prstGeom>
                  </pic:spPr>
                </pic:pic>
              </a:graphicData>
            </a:graphic>
          </wp:inline>
        </w:drawing>
      </w:r>
      <w:r>
        <w:rPr>
          <w:rFonts w:hint="eastAsia" w:ascii="仿宋_GB2312" w:hAnsi="宋体" w:eastAsia="仿宋_GB2312" w:cs="仿宋_GB2312"/>
          <w:sz w:val="32"/>
          <w:szCs w:val="32"/>
          <w:shd w:val="clear" w:color="FFFFFF" w:fill="D9D9D9"/>
          <w:lang w:eastAsia="zh-CN"/>
        </w:rPr>
        <w:drawing>
          <wp:inline distT="0" distB="0" distL="114300" distR="114300">
            <wp:extent cx="5269865" cy="6993890"/>
            <wp:effectExtent l="0" t="0" r="6985" b="16510"/>
            <wp:docPr id="14" name="图片 14" descr="1624515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24515179(1)"/>
                    <pic:cNvPicPr>
                      <a:picLocks noChangeAspect="1"/>
                    </pic:cNvPicPr>
                  </pic:nvPicPr>
                  <pic:blipFill>
                    <a:blip r:embed="rId14"/>
                    <a:stretch>
                      <a:fillRect/>
                    </a:stretch>
                  </pic:blipFill>
                  <pic:spPr>
                    <a:xfrm>
                      <a:off x="0" y="0"/>
                      <a:ext cx="5269865" cy="6993890"/>
                    </a:xfrm>
                    <a:prstGeom prst="rect">
                      <a:avLst/>
                    </a:prstGeom>
                  </pic:spPr>
                </pic:pic>
              </a:graphicData>
            </a:graphic>
          </wp:inline>
        </w:drawing>
      </w: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pStyle w:val="4"/>
        <w:spacing w:line="520" w:lineRule="exact"/>
        <w:rPr>
          <w:rFonts w:ascii="仿宋" w:hAnsi="仿宋" w:eastAsia="仿宋" w:cs="仿宋"/>
          <w:sz w:val="32"/>
          <w:szCs w:val="32"/>
        </w:rPr>
      </w:pPr>
      <w:r>
        <w:rPr>
          <w:rFonts w:hint="eastAsia" w:ascii="仿宋" w:hAnsi="仿宋" w:eastAsia="仿宋" w:cs="仿宋"/>
          <w:b/>
          <w:bCs/>
          <w:sz w:val="32"/>
          <w:szCs w:val="32"/>
        </w:rPr>
        <w:t>一、收入科目</w:t>
      </w:r>
    </w:p>
    <w:p>
      <w:pPr>
        <w:pStyle w:val="7"/>
        <w:widowControl/>
        <w:spacing w:beforeAutospacing="0" w:afterAutospacing="0" w:line="375" w:lineRule="atLeast"/>
        <w:ind w:firstLine="420"/>
        <w:jc w:val="both"/>
        <w:rPr>
          <w:rFonts w:ascii="仿宋" w:hAnsi="仿宋" w:eastAsia="仿宋" w:cs="仿宋"/>
          <w:color w:val="000000"/>
          <w:sz w:val="32"/>
          <w:szCs w:val="32"/>
        </w:rPr>
      </w:pPr>
      <w:r>
        <w:rPr>
          <w:rFonts w:hint="eastAsia" w:ascii="仿宋" w:hAnsi="仿宋" w:eastAsia="仿宋" w:cs="仿宋"/>
          <w:color w:val="000000"/>
          <w:sz w:val="32"/>
          <w:szCs w:val="32"/>
        </w:rPr>
        <w:t>（一）财政拨款：指市级财政当年拨付的资金。</w:t>
      </w:r>
    </w:p>
    <w:p>
      <w:pPr>
        <w:pStyle w:val="7"/>
        <w:widowControl/>
        <w:spacing w:beforeAutospacing="0" w:afterAutospacing="0" w:line="375" w:lineRule="atLeast"/>
        <w:ind w:firstLine="420"/>
        <w:jc w:val="both"/>
        <w:rPr>
          <w:rFonts w:ascii="仿宋" w:hAnsi="仿宋" w:eastAsia="仿宋" w:cs="仿宋"/>
          <w:color w:val="000000"/>
          <w:sz w:val="32"/>
          <w:szCs w:val="32"/>
        </w:rPr>
      </w:pPr>
      <w:r>
        <w:rPr>
          <w:rFonts w:hint="eastAsia" w:ascii="仿宋" w:hAnsi="仿宋" w:eastAsia="仿宋" w:cs="仿宋"/>
          <w:color w:val="000000"/>
          <w:sz w:val="32"/>
          <w:szCs w:val="32"/>
        </w:rPr>
        <w:t>（二）事业收入：指事业单位开展专业业务活动及辅助活动取得的收入。</w:t>
      </w:r>
    </w:p>
    <w:p>
      <w:pPr>
        <w:pStyle w:val="4"/>
        <w:spacing w:line="520" w:lineRule="exact"/>
        <w:rPr>
          <w:rFonts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二、支出科目</w:t>
      </w:r>
    </w:p>
    <w:p>
      <w:pPr>
        <w:pStyle w:val="4"/>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（一）一般公共服务支出（类）纪检监察事务（款）</w:t>
      </w:r>
    </w:p>
    <w:p>
      <w:pPr>
        <w:pStyle w:val="4"/>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派驻派出机构（项）：</w:t>
      </w:r>
    </w:p>
    <w:p>
      <w:pPr>
        <w:pStyle w:val="4"/>
        <w:numPr>
          <w:ilvl w:val="255"/>
          <w:numId w:val="0"/>
        </w:num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（二）社会保障和就业支出（类）行政事业单位养老支出（款）</w:t>
      </w:r>
    </w:p>
    <w:p>
      <w:pPr>
        <w:pStyle w:val="4"/>
        <w:numPr>
          <w:ilvl w:val="255"/>
          <w:numId w:val="0"/>
        </w:num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机关事业单位基本养老保险缴费支出（项）：反映机关事业单位实施养老保险由单位缴纳的基本养老保险缴费支出。</w:t>
      </w:r>
    </w:p>
    <w:p>
      <w:pPr>
        <w:pStyle w:val="4"/>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（三）卫生健康支出（类）行政事业单位医疗（款）</w:t>
      </w:r>
    </w:p>
    <w:p>
      <w:pPr>
        <w:pStyle w:val="4"/>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行政单位医疗（项）：</w:t>
      </w:r>
      <w:r>
        <w:rPr>
          <w:rFonts w:hint="eastAsia" w:ascii="仿宋" w:hAnsi="仿宋" w:eastAsia="仿宋" w:cs="仿宋"/>
          <w:spacing w:val="-11"/>
          <w:sz w:val="32"/>
          <w:szCs w:val="32"/>
        </w:rPr>
        <w:t>反映财政部门安排的行政单位基本医疗保险缴费经费。</w:t>
      </w:r>
    </w:p>
    <w:p>
      <w:pPr>
        <w:pStyle w:val="4"/>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事业单位医疗（项）：</w:t>
      </w:r>
      <w:r>
        <w:rPr>
          <w:rFonts w:hint="eastAsia" w:ascii="仿宋" w:hAnsi="仿宋" w:eastAsia="仿宋" w:cs="仿宋"/>
          <w:spacing w:val="-11"/>
          <w:sz w:val="32"/>
          <w:szCs w:val="32"/>
        </w:rPr>
        <w:t>反映财政部门安排的事业单位基本医疗保险缴费经费。</w:t>
      </w:r>
    </w:p>
    <w:p>
      <w:pPr>
        <w:pStyle w:val="4"/>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公务员医疗补助（项）：反映财政部门安排的公务员医疗补助经费。</w:t>
      </w:r>
    </w:p>
    <w:p>
      <w:pPr>
        <w:pStyle w:val="4"/>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其他行政事业单位医疗支出（项）：反映其他用于行政事业单位医疗方面的支出。用此科目主要核算工伤保险。</w:t>
      </w:r>
    </w:p>
    <w:p>
      <w:pPr>
        <w:pStyle w:val="4"/>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（四）资源勘探工业信息等支出（类）国有资产监管（款）</w:t>
      </w:r>
    </w:p>
    <w:p>
      <w:pPr>
        <w:pStyle w:val="4"/>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行政运行（项）：</w:t>
      </w:r>
      <w:r>
        <w:rPr>
          <w:rFonts w:hint="eastAsia" w:ascii="仿宋" w:hAnsi="仿宋" w:eastAsia="仿宋" w:cs="仿宋"/>
          <w:color w:val="000000"/>
          <w:sz w:val="32"/>
          <w:szCs w:val="32"/>
        </w:rPr>
        <w:t>反映行政单位（包括参公单位）的基本支出。</w:t>
      </w:r>
    </w:p>
    <w:p>
      <w:pPr>
        <w:pStyle w:val="4"/>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其他国有资产监管支出（项）：反映用于国有资产监管方面的其他支出。</w:t>
      </w:r>
    </w:p>
    <w:p>
      <w:pPr>
        <w:pStyle w:val="4"/>
        <w:numPr>
          <w:ilvl w:val="0"/>
          <w:numId w:val="2"/>
        </w:num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住房保障支出（类）住房改革支出（款）</w:t>
      </w:r>
    </w:p>
    <w:p>
      <w:pPr>
        <w:pStyle w:val="4"/>
        <w:numPr>
          <w:ilvl w:val="255"/>
          <w:numId w:val="0"/>
        </w:numPr>
        <w:spacing w:line="52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住房公积金（项）：反映行政事业单位按人力资源和社会保障部、财政部规定的基本工资和津贴补贴以及规定比例为职工缴纳的住房公积金。</w:t>
      </w:r>
    </w:p>
    <w:p>
      <w:pPr>
        <w:pStyle w:val="7"/>
        <w:widowControl/>
        <w:numPr>
          <w:ilvl w:val="0"/>
          <w:numId w:val="2"/>
        </w:numPr>
        <w:spacing w:beforeAutospacing="0" w:afterAutospacing="0" w:line="375" w:lineRule="atLeast"/>
        <w:ind w:firstLine="640" w:firstLineChars="200"/>
        <w:jc w:val="both"/>
        <w:rPr>
          <w:rFonts w:ascii="仿宋_GB2312" w:eastAsia="仿宋_GB2312"/>
          <w:sz w:val="32"/>
          <w:szCs w:val="32"/>
        </w:rPr>
      </w:pPr>
      <w:r>
        <w:rPr>
          <w:rFonts w:hint="eastAsia" w:ascii="仿宋" w:hAnsi="仿宋" w:eastAsia="仿宋" w:cs="仿宋"/>
          <w:color w:val="000000"/>
          <w:sz w:val="32"/>
          <w:szCs w:val="32"/>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pStyle w:val="7"/>
        <w:widowControl/>
        <w:spacing w:beforeAutospacing="0" w:afterAutospacing="0" w:line="375" w:lineRule="atLeast"/>
        <w:ind w:firstLine="640" w:firstLineChars="200"/>
        <w:jc w:val="both"/>
        <w:rPr>
          <w:rFonts w:ascii="仿宋_GB2312" w:eastAsia="仿宋_GB2312"/>
          <w:sz w:val="32"/>
          <w:szCs w:val="32"/>
        </w:rPr>
      </w:pPr>
      <w:r>
        <w:rPr>
          <w:rFonts w:hint="eastAsia" w:ascii="仿宋" w:hAnsi="仿宋" w:eastAsia="仿宋" w:cs="仿宋"/>
          <w:color w:val="000000"/>
          <w:sz w:val="32"/>
          <w:szCs w:val="32"/>
        </w:rPr>
        <w:t>(七）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8</w:t>
    </w:r>
    <w:r>
      <w:rPr>
        <w:rStyle w:val="10"/>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EDE9D"/>
    <w:multiLevelType w:val="singleLevel"/>
    <w:tmpl w:val="84CEDE9D"/>
    <w:lvl w:ilvl="0" w:tentative="0">
      <w:start w:val="5"/>
      <w:numFmt w:val="chineseCounting"/>
      <w:suff w:val="nothing"/>
      <w:lvlText w:val="（%1）"/>
      <w:lvlJc w:val="left"/>
      <w:rPr>
        <w:rFonts w:hint="eastAsia"/>
      </w:rPr>
    </w:lvl>
  </w:abstractNum>
  <w:abstractNum w:abstractNumId="1">
    <w:nsid w:val="9EF82135"/>
    <w:multiLevelType w:val="singleLevel"/>
    <w:tmpl w:val="9EF82135"/>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9E3D52"/>
    <w:rsid w:val="162B4B72"/>
    <w:rsid w:val="18AC060B"/>
    <w:rsid w:val="19076E1D"/>
    <w:rsid w:val="1B456534"/>
    <w:rsid w:val="1EBD751D"/>
    <w:rsid w:val="1F117155"/>
    <w:rsid w:val="204B45CE"/>
    <w:rsid w:val="22DF4A38"/>
    <w:rsid w:val="25705B71"/>
    <w:rsid w:val="2DBB222D"/>
    <w:rsid w:val="31D40AAE"/>
    <w:rsid w:val="381119B2"/>
    <w:rsid w:val="3BD871B8"/>
    <w:rsid w:val="3CF55A87"/>
    <w:rsid w:val="429A727D"/>
    <w:rsid w:val="4322216B"/>
    <w:rsid w:val="4C0B38BC"/>
    <w:rsid w:val="4C0B7195"/>
    <w:rsid w:val="4D3B293C"/>
    <w:rsid w:val="51B40312"/>
    <w:rsid w:val="57CC144D"/>
    <w:rsid w:val="62B20F12"/>
    <w:rsid w:val="641E7445"/>
    <w:rsid w:val="71452C49"/>
    <w:rsid w:val="73224148"/>
    <w:rsid w:val="772860B1"/>
    <w:rsid w:val="7ABD77C8"/>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1"/>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Balloon Text"/>
    <w:basedOn w:val="1"/>
    <w:link w:val="13"/>
    <w:semiHidden/>
    <w:unhideWhenUsed/>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page number"/>
    <w:basedOn w:val="9"/>
    <w:qFormat/>
    <w:uiPriority w:val="99"/>
  </w:style>
  <w:style w:type="character" w:customStyle="1" w:styleId="11">
    <w:name w:val="标题 2 Char"/>
    <w:basedOn w:val="9"/>
    <w:link w:val="2"/>
    <w:semiHidden/>
    <w:qFormat/>
    <w:uiPriority w:val="9"/>
    <w:rPr>
      <w:rFonts w:asciiTheme="majorHAnsi" w:hAnsiTheme="majorHAnsi" w:eastAsiaTheme="majorEastAsia" w:cstheme="majorBidi"/>
      <w:b/>
      <w:bCs/>
      <w:sz w:val="32"/>
      <w:szCs w:val="32"/>
    </w:rPr>
  </w:style>
  <w:style w:type="character" w:customStyle="1" w:styleId="12">
    <w:name w:val="页脚 Char"/>
    <w:basedOn w:val="9"/>
    <w:link w:val="6"/>
    <w:semiHidden/>
    <w:qFormat/>
    <w:uiPriority w:val="99"/>
    <w:rPr>
      <w:rFonts w:cs="Calibri"/>
      <w:sz w:val="18"/>
      <w:szCs w:val="18"/>
    </w:rPr>
  </w:style>
  <w:style w:type="character" w:customStyle="1" w:styleId="13">
    <w:name w:val="批注框文本 Char"/>
    <w:basedOn w:val="9"/>
    <w:link w:val="5"/>
    <w:semiHidden/>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130</TotalTime>
  <ScaleCrop>false</ScaleCrop>
  <LinksUpToDate>false</LinksUpToDate>
  <CharactersWithSpaces>2873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马小鹿</cp:lastModifiedBy>
  <cp:lastPrinted>2021-06-24T06:18:28Z</cp:lastPrinted>
  <dcterms:modified xsi:type="dcterms:W3CDTF">2021-06-24T06:19:56Z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1BA337B198A64E7B98973D8E1914F15D</vt:lpwstr>
  </property>
</Properties>
</file>