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eastAsia="黑体"/>
          <w:sz w:val="44"/>
          <w:szCs w:val="36"/>
        </w:rPr>
      </w:pPr>
      <w:r>
        <w:rPr>
          <w:rFonts w:hint="eastAsia" w:ascii="黑体" w:hAnsi="黑体" w:eastAsia="黑体"/>
          <w:sz w:val="44"/>
          <w:szCs w:val="36"/>
          <w:lang w:val="en-US" w:eastAsia="zh-CN"/>
        </w:rPr>
        <w:t>景德镇学院</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lang w:val="en-US" w:eastAsia="zh-CN"/>
        </w:rPr>
        <w:t>景德镇学院</w:t>
      </w:r>
      <w:r>
        <w:rPr>
          <w:rFonts w:hint="eastAsia" w:ascii="黑体" w:hAnsi="黑体" w:eastAsia="黑体"/>
          <w:b/>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p>
    <w:p>
      <w:pPr>
        <w:widowControl/>
        <w:spacing w:line="580" w:lineRule="exact"/>
        <w:jc w:val="center"/>
        <w:rPr>
          <w:rFonts w:hint="eastAsia"/>
          <w:sz w:val="32"/>
          <w:szCs w:val="32"/>
        </w:rPr>
      </w:pPr>
      <w:r>
        <w:rPr>
          <w:rFonts w:hint="eastAsia" w:ascii="宋体" w:hAnsi="宋体"/>
          <w:b/>
          <w:sz w:val="32"/>
          <w:szCs w:val="30"/>
        </w:rPr>
        <w:t xml:space="preserve">第一部分  </w:t>
      </w:r>
      <w:r>
        <w:rPr>
          <w:rFonts w:hint="eastAsia" w:ascii="宋体" w:hAnsi="宋体"/>
          <w:b/>
          <w:sz w:val="32"/>
          <w:szCs w:val="32"/>
          <w:lang w:val="en-US" w:eastAsia="zh-CN"/>
        </w:rPr>
        <w:t>景德镇学院</w:t>
      </w:r>
      <w:r>
        <w:rPr>
          <w:rFonts w:hint="eastAsia" w:ascii="宋体" w:hAnsi="宋体"/>
          <w:b/>
          <w:sz w:val="32"/>
          <w:szCs w:val="30"/>
        </w:rPr>
        <w:t>概况</w:t>
      </w: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keepNext w:val="0"/>
        <w:keepLines w:val="0"/>
        <w:pageBreakBefore w:val="0"/>
        <w:widowControl w:val="0"/>
        <w:kinsoku/>
        <w:wordWrap/>
        <w:overflowPunct/>
        <w:topLinePunct w:val="0"/>
        <w:autoSpaceDE/>
        <w:autoSpaceDN/>
        <w:bidi w:val="0"/>
        <w:adjustRightInd/>
        <w:snapToGrid/>
        <w:spacing w:line="600" w:lineRule="exact"/>
        <w:ind w:firstLine="629"/>
        <w:jc w:val="left"/>
        <w:textAlignment w:val="auto"/>
        <w:rPr>
          <w:rFonts w:hint="eastAsia" w:ascii="仿宋" w:hAnsi="仿宋" w:eastAsia="仿宋"/>
          <w:sz w:val="30"/>
          <w:szCs w:val="30"/>
        </w:rPr>
      </w:pPr>
      <w:r>
        <w:rPr>
          <w:rFonts w:hint="eastAsia" w:ascii="仿宋" w:hAnsi="仿宋" w:eastAsia="仿宋"/>
          <w:sz w:val="30"/>
          <w:szCs w:val="30"/>
        </w:rPr>
        <w:t>景德镇学院是一所由景德镇市人民政府主办的多科性全日制普通本科院校。学院确立了“地方性、应用型、开放式”的办学定位，走“特色化、差异化、国际化”发展之路，确定了把学院建成一所“合格的、特色鲜明的、应用技术型地方本科院校”的发展目标。    </w:t>
      </w:r>
    </w:p>
    <w:p>
      <w:pPr>
        <w:keepNext w:val="0"/>
        <w:keepLines w:val="0"/>
        <w:pageBreakBefore w:val="0"/>
        <w:widowControl w:val="0"/>
        <w:kinsoku/>
        <w:wordWrap/>
        <w:overflowPunct/>
        <w:topLinePunct w:val="0"/>
        <w:autoSpaceDE/>
        <w:autoSpaceDN/>
        <w:bidi w:val="0"/>
        <w:adjustRightInd/>
        <w:snapToGrid/>
        <w:spacing w:line="600" w:lineRule="exact"/>
        <w:ind w:firstLine="629"/>
        <w:jc w:val="left"/>
        <w:textAlignment w:val="auto"/>
        <w:rPr>
          <w:rFonts w:hint="eastAsia" w:ascii="仿宋" w:hAnsi="仿宋" w:eastAsia="仿宋"/>
          <w:sz w:val="30"/>
          <w:szCs w:val="30"/>
        </w:rPr>
      </w:pPr>
      <w:r>
        <w:rPr>
          <w:rFonts w:hint="eastAsia" w:ascii="仿宋" w:hAnsi="仿宋" w:eastAsia="仿宋"/>
          <w:sz w:val="30"/>
          <w:szCs w:val="30"/>
        </w:rPr>
        <w:t>（一）全面贯彻执行党的路线方针政策，贯彻执行党的教育方针，坚持社会主义办学方向，为社会主义现代化建设服务，与生产劳动相结合，培养德智体美全面发展的社会主义事业的合格建设者和可靠接班人；</w:t>
      </w:r>
    </w:p>
    <w:p>
      <w:pPr>
        <w:keepNext w:val="0"/>
        <w:keepLines w:val="0"/>
        <w:pageBreakBefore w:val="0"/>
        <w:widowControl w:val="0"/>
        <w:kinsoku/>
        <w:wordWrap/>
        <w:overflowPunct/>
        <w:topLinePunct w:val="0"/>
        <w:autoSpaceDE/>
        <w:autoSpaceDN/>
        <w:bidi w:val="0"/>
        <w:adjustRightInd/>
        <w:snapToGrid/>
        <w:spacing w:line="600" w:lineRule="exact"/>
        <w:ind w:firstLine="629"/>
        <w:jc w:val="left"/>
        <w:textAlignment w:val="auto"/>
        <w:rPr>
          <w:rFonts w:hint="eastAsia" w:ascii="仿宋" w:hAnsi="仿宋" w:eastAsia="仿宋"/>
          <w:sz w:val="30"/>
          <w:szCs w:val="30"/>
        </w:rPr>
      </w:pPr>
      <w:r>
        <w:rPr>
          <w:rFonts w:hint="eastAsia" w:ascii="仿宋" w:hAnsi="仿宋" w:eastAsia="仿宋"/>
          <w:sz w:val="30"/>
          <w:szCs w:val="30"/>
        </w:rPr>
        <w:t>（二）根据地方经济建设和社会发展的需要，制定学院发展规划，不断调整专业结构，构建多学科协调发展的学科专业体系。推进学院体制改革和教学改革，优化结构和资源配置，提高高等教育的质量和效益；</w:t>
      </w:r>
    </w:p>
    <w:p>
      <w:pPr>
        <w:keepNext w:val="0"/>
        <w:keepLines w:val="0"/>
        <w:pageBreakBefore w:val="0"/>
        <w:widowControl w:val="0"/>
        <w:kinsoku/>
        <w:wordWrap/>
        <w:overflowPunct/>
        <w:topLinePunct w:val="0"/>
        <w:autoSpaceDE/>
        <w:autoSpaceDN/>
        <w:bidi w:val="0"/>
        <w:adjustRightInd/>
        <w:snapToGrid/>
        <w:spacing w:line="600" w:lineRule="exact"/>
        <w:ind w:firstLine="629"/>
        <w:jc w:val="left"/>
        <w:textAlignment w:val="auto"/>
        <w:rPr>
          <w:rFonts w:hint="eastAsia" w:ascii="仿宋" w:hAnsi="仿宋" w:eastAsia="仿宋"/>
          <w:sz w:val="30"/>
          <w:szCs w:val="30"/>
        </w:rPr>
      </w:pPr>
      <w:r>
        <w:rPr>
          <w:rFonts w:hint="eastAsia" w:ascii="仿宋" w:hAnsi="仿宋" w:eastAsia="仿宋"/>
          <w:sz w:val="30"/>
          <w:szCs w:val="30"/>
        </w:rPr>
        <w:t>（三）加强平台和科研团队建设，提升学术科研水平，提高服务地方经济的水平，开展国际交流与合作；</w:t>
      </w:r>
    </w:p>
    <w:p>
      <w:pPr>
        <w:keepNext w:val="0"/>
        <w:keepLines w:val="0"/>
        <w:pageBreakBefore w:val="0"/>
        <w:widowControl w:val="0"/>
        <w:kinsoku/>
        <w:wordWrap/>
        <w:overflowPunct/>
        <w:topLinePunct w:val="0"/>
        <w:autoSpaceDE/>
        <w:autoSpaceDN/>
        <w:bidi w:val="0"/>
        <w:adjustRightInd/>
        <w:snapToGrid/>
        <w:spacing w:line="600" w:lineRule="exact"/>
        <w:ind w:firstLine="629"/>
        <w:jc w:val="left"/>
        <w:textAlignment w:val="auto"/>
        <w:rPr>
          <w:rFonts w:hint="eastAsia" w:ascii="仿宋" w:hAnsi="仿宋" w:eastAsia="仿宋"/>
          <w:sz w:val="30"/>
          <w:szCs w:val="30"/>
        </w:rPr>
      </w:pPr>
      <w:r>
        <w:rPr>
          <w:rFonts w:hint="eastAsia" w:ascii="仿宋" w:hAnsi="仿宋" w:eastAsia="仿宋"/>
          <w:sz w:val="30"/>
          <w:szCs w:val="30"/>
        </w:rPr>
        <w:t>（四）依法自主办学，实行民主管理。</w:t>
      </w:r>
    </w:p>
    <w:p>
      <w:pPr>
        <w:keepNext w:val="0"/>
        <w:keepLines w:val="0"/>
        <w:pageBreakBefore w:val="0"/>
        <w:widowControl w:val="0"/>
        <w:kinsoku/>
        <w:wordWrap/>
        <w:overflowPunct/>
        <w:topLinePunct w:val="0"/>
        <w:autoSpaceDE/>
        <w:autoSpaceDN/>
        <w:bidi w:val="0"/>
        <w:adjustRightInd/>
        <w:snapToGrid/>
        <w:spacing w:line="600" w:lineRule="exact"/>
        <w:ind w:firstLine="629"/>
        <w:jc w:val="left"/>
        <w:textAlignment w:val="auto"/>
        <w:rPr>
          <w:rFonts w:hint="eastAsia" w:ascii="黑体" w:hAnsi="黑体" w:eastAsia="黑体"/>
          <w:sz w:val="30"/>
          <w:szCs w:val="30"/>
        </w:rPr>
      </w:pPr>
      <w:r>
        <w:rPr>
          <w:rFonts w:hint="eastAsia" w:ascii="黑体" w:hAnsi="黑体" w:eastAsia="黑体"/>
          <w:sz w:val="30"/>
          <w:szCs w:val="30"/>
        </w:rPr>
        <w:t>二、部门基本情况</w:t>
      </w:r>
    </w:p>
    <w:p>
      <w:pPr>
        <w:keepNext w:val="0"/>
        <w:keepLines w:val="0"/>
        <w:pageBreakBefore w:val="0"/>
        <w:widowControl w:val="0"/>
        <w:kinsoku/>
        <w:wordWrap/>
        <w:overflowPunct/>
        <w:topLinePunct w:val="0"/>
        <w:autoSpaceDE/>
        <w:autoSpaceDN/>
        <w:bidi w:val="0"/>
        <w:adjustRightInd/>
        <w:snapToGrid/>
        <w:spacing w:line="600" w:lineRule="exact"/>
        <w:ind w:firstLine="629"/>
        <w:jc w:val="left"/>
        <w:textAlignment w:val="auto"/>
        <w:rPr>
          <w:rFonts w:hint="eastAsia" w:ascii="仿宋" w:hAnsi="仿宋" w:eastAsia="仿宋"/>
          <w:sz w:val="30"/>
          <w:szCs w:val="30"/>
        </w:rPr>
      </w:pPr>
      <w:r>
        <w:rPr>
          <w:rFonts w:hint="eastAsia" w:ascii="仿宋" w:hAnsi="仿宋" w:eastAsia="仿宋"/>
          <w:sz w:val="30"/>
          <w:szCs w:val="30"/>
        </w:rPr>
        <w:t xml:space="preserve">纳入本套部门决算汇编范围的单位共1个，即部门本级。   </w:t>
      </w:r>
    </w:p>
    <w:p>
      <w:pPr>
        <w:keepNext w:val="0"/>
        <w:keepLines w:val="0"/>
        <w:pageBreakBefore w:val="0"/>
        <w:widowControl w:val="0"/>
        <w:kinsoku/>
        <w:wordWrap/>
        <w:overflowPunct/>
        <w:topLinePunct w:val="0"/>
        <w:autoSpaceDE/>
        <w:autoSpaceDN/>
        <w:bidi w:val="0"/>
        <w:adjustRightInd/>
        <w:snapToGrid/>
        <w:spacing w:line="600" w:lineRule="exact"/>
        <w:ind w:firstLine="629"/>
        <w:jc w:val="left"/>
        <w:textAlignment w:val="auto"/>
        <w:rPr>
          <w:rFonts w:hint="eastAsia" w:ascii="宋体" w:hAnsi="宋体"/>
          <w:b/>
          <w:sz w:val="32"/>
          <w:szCs w:val="32"/>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775</w:t>
      </w:r>
      <w:r>
        <w:rPr>
          <w:rFonts w:hint="eastAsia" w:ascii="仿宋" w:hAnsi="仿宋" w:eastAsia="仿宋"/>
          <w:sz w:val="30"/>
          <w:szCs w:val="30"/>
        </w:rPr>
        <w:t>人，其中在职人员</w:t>
      </w:r>
      <w:r>
        <w:rPr>
          <w:rFonts w:hint="eastAsia" w:ascii="仿宋" w:hAnsi="仿宋" w:eastAsia="仿宋"/>
          <w:sz w:val="30"/>
          <w:szCs w:val="30"/>
          <w:lang w:val="en-US" w:eastAsia="zh-CN"/>
        </w:rPr>
        <w:t>528</w:t>
      </w:r>
      <w:r>
        <w:rPr>
          <w:rFonts w:hint="eastAsia" w:ascii="仿宋" w:hAnsi="仿宋" w:eastAsia="仿宋"/>
          <w:sz w:val="30"/>
          <w:szCs w:val="30"/>
        </w:rPr>
        <w:t>人，离休人员</w:t>
      </w:r>
      <w:r>
        <w:rPr>
          <w:rFonts w:hint="eastAsia" w:ascii="仿宋" w:hAnsi="仿宋" w:eastAsia="仿宋"/>
          <w:sz w:val="30"/>
          <w:szCs w:val="30"/>
          <w:lang w:val="en-US" w:eastAsia="zh-CN"/>
        </w:rPr>
        <w:t>2</w:t>
      </w:r>
      <w:r>
        <w:rPr>
          <w:rFonts w:hint="eastAsia" w:ascii="仿宋" w:hAnsi="仿宋" w:eastAsia="仿宋"/>
          <w:sz w:val="30"/>
          <w:szCs w:val="30"/>
        </w:rPr>
        <w:t>人，退休人员</w:t>
      </w:r>
      <w:r>
        <w:rPr>
          <w:rFonts w:hint="eastAsia" w:ascii="仿宋" w:hAnsi="仿宋" w:eastAsia="仿宋"/>
          <w:sz w:val="30"/>
          <w:szCs w:val="30"/>
          <w:lang w:val="en-US" w:eastAsia="zh-CN"/>
        </w:rPr>
        <w:t>245</w:t>
      </w:r>
      <w:r>
        <w:rPr>
          <w:rFonts w:hint="eastAsia" w:ascii="仿宋" w:hAnsi="仿宋" w:eastAsia="仿宋"/>
          <w:sz w:val="30"/>
          <w:szCs w:val="30"/>
        </w:rPr>
        <w:t>人；</w:t>
      </w:r>
      <w:r>
        <w:rPr>
          <w:rFonts w:hint="eastAsia" w:ascii="仿宋" w:hAnsi="仿宋" w:eastAsia="仿宋"/>
          <w:sz w:val="30"/>
          <w:szCs w:val="30"/>
          <w:lang w:val="en-US" w:eastAsia="zh-CN"/>
        </w:rPr>
        <w:t>年末其他人员117人；</w:t>
      </w:r>
      <w:r>
        <w:rPr>
          <w:rFonts w:hint="eastAsia" w:ascii="仿宋" w:hAnsi="仿宋" w:eastAsia="仿宋"/>
          <w:sz w:val="30"/>
          <w:szCs w:val="30"/>
        </w:rPr>
        <w:t>年末学生人数</w:t>
      </w:r>
      <w:r>
        <w:rPr>
          <w:rFonts w:hint="eastAsia" w:ascii="仿宋" w:hAnsi="仿宋" w:eastAsia="仿宋"/>
          <w:sz w:val="30"/>
          <w:szCs w:val="30"/>
          <w:lang w:val="en-US" w:eastAsia="zh-CN"/>
        </w:rPr>
        <w:t>9018</w:t>
      </w:r>
      <w:r>
        <w:rPr>
          <w:rFonts w:hint="eastAsia" w:ascii="仿宋" w:hAnsi="仿宋" w:eastAsia="仿宋"/>
          <w:sz w:val="30"/>
          <w:szCs w:val="30"/>
        </w:rPr>
        <w:t>人。</w:t>
      </w:r>
    </w:p>
    <w:p>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70500" cy="4892675"/>
            <wp:effectExtent l="0" t="0" r="6350" b="3175"/>
            <wp:docPr id="13" name="图片 13" descr="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总"/>
                    <pic:cNvPicPr>
                      <a:picLocks noChangeAspect="1"/>
                    </pic:cNvPicPr>
                  </pic:nvPicPr>
                  <pic:blipFill>
                    <a:blip r:embed="rId4"/>
                    <a:stretch>
                      <a:fillRect/>
                    </a:stretch>
                  </pic:blipFill>
                  <pic:spPr>
                    <a:xfrm>
                      <a:off x="0" y="0"/>
                      <a:ext cx="5270500" cy="4892675"/>
                    </a:xfrm>
                    <a:prstGeom prst="rect">
                      <a:avLst/>
                    </a:prstGeom>
                  </pic:spPr>
                </pic:pic>
              </a:graphicData>
            </a:graphic>
          </wp:inline>
        </w:drawing>
      </w:r>
    </w:p>
    <w:p>
      <w:pPr>
        <w:autoSpaceDE w:val="0"/>
        <w:autoSpaceDN w:val="0"/>
        <w:adjustRightInd w:val="0"/>
        <w:spacing w:line="360" w:lineRule="auto"/>
        <w:jc w:val="left"/>
        <w:rPr>
          <w:rFonts w:hint="eastAsia" w:eastAsia="宋体"/>
          <w:szCs w:val="30"/>
          <w:lang w:eastAsia="zh-CN"/>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71135" cy="2862580"/>
            <wp:effectExtent l="0" t="0" r="5715" b="13970"/>
            <wp:docPr id="12" name="图片 12" descr="收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收入"/>
                    <pic:cNvPicPr>
                      <a:picLocks noChangeAspect="1"/>
                    </pic:cNvPicPr>
                  </pic:nvPicPr>
                  <pic:blipFill>
                    <a:blip r:embed="rId5"/>
                    <a:stretch>
                      <a:fillRect/>
                    </a:stretch>
                  </pic:blipFill>
                  <pic:spPr>
                    <a:xfrm>
                      <a:off x="0" y="0"/>
                      <a:ext cx="5271135" cy="2862580"/>
                    </a:xfrm>
                    <a:prstGeom prst="rect">
                      <a:avLst/>
                    </a:prstGeom>
                  </pic:spPr>
                </pic:pic>
              </a:graphicData>
            </a:graphic>
          </wp:inline>
        </w:drawing>
      </w:r>
    </w:p>
    <w:p>
      <w:pPr>
        <w:autoSpaceDE w:val="0"/>
        <w:autoSpaceDN w:val="0"/>
        <w:adjustRightInd w:val="0"/>
        <w:spacing w:line="360" w:lineRule="auto"/>
        <w:jc w:val="left"/>
        <w:rPr>
          <w:rFonts w:hint="eastAsia" w:eastAsia="宋体"/>
          <w:szCs w:val="30"/>
          <w:lang w:eastAsia="zh-CN"/>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5420" cy="3382645"/>
            <wp:effectExtent l="0" t="0" r="11430" b="8255"/>
            <wp:docPr id="14" name="图片 14" descr="支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支出"/>
                    <pic:cNvPicPr>
                      <a:picLocks noChangeAspect="1"/>
                    </pic:cNvPicPr>
                  </pic:nvPicPr>
                  <pic:blipFill>
                    <a:blip r:embed="rId6"/>
                    <a:stretch>
                      <a:fillRect/>
                    </a:stretch>
                  </pic:blipFill>
                  <pic:spPr>
                    <a:xfrm>
                      <a:off x="0" y="0"/>
                      <a:ext cx="5265420" cy="3382645"/>
                    </a:xfrm>
                    <a:prstGeom prst="rect">
                      <a:avLst/>
                    </a:prstGeom>
                  </pic:spPr>
                </pic:pic>
              </a:graphicData>
            </a:graphic>
          </wp:inline>
        </w:drawing>
      </w:r>
    </w:p>
    <w:p>
      <w:pPr>
        <w:autoSpaceDE w:val="0"/>
        <w:autoSpaceDN w:val="0"/>
        <w:adjustRightInd w:val="0"/>
        <w:spacing w:line="360" w:lineRule="auto"/>
        <w:jc w:val="left"/>
        <w:rPr>
          <w:rFonts w:hint="eastAsia" w:eastAsia="宋体"/>
          <w:szCs w:val="30"/>
          <w:lang w:eastAsia="zh-CN"/>
        </w:rPr>
      </w:pPr>
    </w:p>
    <w:p>
      <w:pPr>
        <w:autoSpaceDE w:val="0"/>
        <w:autoSpaceDN w:val="0"/>
        <w:adjustRightInd w:val="0"/>
        <w:spacing w:line="360" w:lineRule="auto"/>
        <w:jc w:val="left"/>
        <w:rPr>
          <w:rFonts w:hint="eastAsia" w:eastAsia="宋体"/>
          <w:szCs w:val="30"/>
          <w:lang w:eastAsia="zh-CN"/>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8595" cy="4039870"/>
            <wp:effectExtent l="0" t="0" r="8255" b="17780"/>
            <wp:docPr id="15" name="图片 15" descr="收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收支"/>
                    <pic:cNvPicPr>
                      <a:picLocks noChangeAspect="1"/>
                    </pic:cNvPicPr>
                  </pic:nvPicPr>
                  <pic:blipFill>
                    <a:blip r:embed="rId7"/>
                    <a:stretch>
                      <a:fillRect/>
                    </a:stretch>
                  </pic:blipFill>
                  <pic:spPr>
                    <a:xfrm>
                      <a:off x="0" y="0"/>
                      <a:ext cx="5268595" cy="4039870"/>
                    </a:xfrm>
                    <a:prstGeom prst="rect">
                      <a:avLst/>
                    </a:prstGeom>
                  </pic:spPr>
                </pic:pic>
              </a:graphicData>
            </a:graphic>
          </wp:inline>
        </w:drawing>
      </w:r>
    </w:p>
    <w:p>
      <w:pPr>
        <w:autoSpaceDE w:val="0"/>
        <w:autoSpaceDN w:val="0"/>
        <w:adjustRightInd w:val="0"/>
        <w:spacing w:line="360" w:lineRule="auto"/>
        <w:jc w:val="left"/>
        <w:rPr>
          <w:rFonts w:hint="eastAsia" w:eastAsia="宋体"/>
          <w:szCs w:val="30"/>
          <w:lang w:eastAsia="zh-CN"/>
        </w:rPr>
      </w:pPr>
    </w:p>
    <w:p>
      <w:pPr>
        <w:autoSpaceDE w:val="0"/>
        <w:autoSpaceDN w:val="0"/>
        <w:adjustRightInd w:val="0"/>
        <w:spacing w:line="360" w:lineRule="auto"/>
        <w:jc w:val="left"/>
        <w:rPr>
          <w:rFonts w:hint="eastAsia" w:eastAsia="宋体"/>
          <w:szCs w:val="30"/>
          <w:lang w:eastAsia="zh-CN"/>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72405" cy="5010785"/>
            <wp:effectExtent l="0" t="0" r="4445" b="18415"/>
            <wp:docPr id="16" name="图片 16" descr="一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一般"/>
                    <pic:cNvPicPr>
                      <a:picLocks noChangeAspect="1"/>
                    </pic:cNvPicPr>
                  </pic:nvPicPr>
                  <pic:blipFill>
                    <a:blip r:embed="rId8"/>
                    <a:stretch>
                      <a:fillRect/>
                    </a:stretch>
                  </pic:blipFill>
                  <pic:spPr>
                    <a:xfrm>
                      <a:off x="0" y="0"/>
                      <a:ext cx="5272405" cy="5010785"/>
                    </a:xfrm>
                    <a:prstGeom prst="rect">
                      <a:avLst/>
                    </a:prstGeom>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pPr>
      <w:r>
        <w:rPr>
          <w:rFonts w:hint="eastAsia" w:ascii="仿宋" w:hAnsi="仿宋" w:eastAsia="仿宋" w:cs="仿宋_GB2312"/>
          <w:kern w:val="0"/>
          <w:sz w:val="30"/>
          <w:szCs w:val="30"/>
        </w:rPr>
        <w:t xml:space="preserve"> </w:t>
      </w:r>
    </w:p>
    <w:p>
      <w:pPr>
        <w:autoSpaceDE w:val="0"/>
        <w:autoSpaceDN w:val="0"/>
        <w:adjustRightInd w:val="0"/>
        <w:spacing w:line="360" w:lineRule="auto"/>
        <w:jc w:val="left"/>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029200" cy="8686165"/>
            <wp:effectExtent l="0" t="0" r="0" b="635"/>
            <wp:docPr id="17" name="图片 17" descr="基本支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基本支出"/>
                    <pic:cNvPicPr>
                      <a:picLocks noChangeAspect="1"/>
                    </pic:cNvPicPr>
                  </pic:nvPicPr>
                  <pic:blipFill>
                    <a:blip r:embed="rId9"/>
                    <a:stretch>
                      <a:fillRect/>
                    </a:stretch>
                  </pic:blipFill>
                  <pic:spPr>
                    <a:xfrm>
                      <a:off x="0" y="0"/>
                      <a:ext cx="5029200" cy="8686165"/>
                    </a:xfrm>
                    <a:prstGeom prst="rect">
                      <a:avLst/>
                    </a:prstGeom>
                  </pic:spPr>
                </pic:pic>
              </a:graphicData>
            </a:graphic>
          </wp:inline>
        </w:drawing>
      </w: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9865" cy="4897120"/>
            <wp:effectExtent l="0" t="0" r="6985" b="17780"/>
            <wp:docPr id="18" name="图片 18" descr="三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三公"/>
                    <pic:cNvPicPr>
                      <a:picLocks noChangeAspect="1"/>
                    </pic:cNvPicPr>
                  </pic:nvPicPr>
                  <pic:blipFill>
                    <a:blip r:embed="rId10"/>
                    <a:stretch>
                      <a:fillRect/>
                    </a:stretch>
                  </pic:blipFill>
                  <pic:spPr>
                    <a:xfrm>
                      <a:off x="0" y="0"/>
                      <a:ext cx="5269865" cy="4897120"/>
                    </a:xfrm>
                    <a:prstGeom prst="rect">
                      <a:avLst/>
                    </a:prstGeom>
                  </pic:spPr>
                </pic:pic>
              </a:graphicData>
            </a:graphic>
          </wp:inline>
        </w:drawing>
      </w:r>
    </w:p>
    <w:p>
      <w:pPr>
        <w:autoSpaceDE w:val="0"/>
        <w:autoSpaceDN w:val="0"/>
        <w:adjustRightInd w:val="0"/>
        <w:spacing w:line="360" w:lineRule="auto"/>
        <w:jc w:val="left"/>
        <w:rPr>
          <w:rFonts w:hint="eastAsia" w:eastAsia="宋体"/>
          <w:szCs w:val="30"/>
          <w:lang w:eastAsia="zh-CN"/>
        </w:rPr>
      </w:pPr>
    </w:p>
    <w:p>
      <w:pPr>
        <w:autoSpaceDE w:val="0"/>
        <w:autoSpaceDN w:val="0"/>
        <w:adjustRightInd w:val="0"/>
        <w:spacing w:line="360" w:lineRule="auto"/>
        <w:jc w:val="left"/>
        <w:rPr>
          <w:rFonts w:hint="eastAsia" w:eastAsia="宋体"/>
          <w:szCs w:val="30"/>
          <w:lang w:eastAsia="zh-CN"/>
        </w:rPr>
      </w:pPr>
    </w:p>
    <w:p>
      <w:pPr>
        <w:autoSpaceDE w:val="0"/>
        <w:autoSpaceDN w:val="0"/>
        <w:adjustRightInd w:val="0"/>
        <w:spacing w:line="360" w:lineRule="auto"/>
        <w:jc w:val="left"/>
        <w:rPr>
          <w:rFonts w:hint="eastAsia" w:eastAsia="宋体"/>
          <w:szCs w:val="30"/>
          <w:lang w:eastAsia="zh-CN"/>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7960" cy="1691005"/>
            <wp:effectExtent l="0" t="0" r="8890" b="4445"/>
            <wp:docPr id="19" name="图片 19" descr="政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政府"/>
                    <pic:cNvPicPr>
                      <a:picLocks noChangeAspect="1"/>
                    </pic:cNvPicPr>
                  </pic:nvPicPr>
                  <pic:blipFill>
                    <a:blip r:embed="rId11"/>
                    <a:stretch>
                      <a:fillRect/>
                    </a:stretch>
                  </pic:blipFill>
                  <pic:spPr>
                    <a:xfrm>
                      <a:off x="0" y="0"/>
                      <a:ext cx="5267960" cy="1691005"/>
                    </a:xfrm>
                    <a:prstGeom prst="rect">
                      <a:avLst/>
                    </a:prstGeom>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162550" cy="2933700"/>
            <wp:effectExtent l="0" t="0" r="0" b="0"/>
            <wp:docPr id="1" name="图片 1" descr="3%XAKK[482FH$(4@19IXJ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XAKK[482FH$(4@19IXJX8"/>
                    <pic:cNvPicPr>
                      <a:picLocks noChangeAspect="1"/>
                    </pic:cNvPicPr>
                  </pic:nvPicPr>
                  <pic:blipFill>
                    <a:blip r:embed="rId12"/>
                    <a:stretch>
                      <a:fillRect/>
                    </a:stretch>
                  </pic:blipFill>
                  <pic:spPr>
                    <a:xfrm>
                      <a:off x="0" y="0"/>
                      <a:ext cx="5162550" cy="2933700"/>
                    </a:xfrm>
                    <a:prstGeom prst="rect">
                      <a:avLst/>
                    </a:prstGeom>
                  </pic:spPr>
                </pic:pic>
              </a:graphicData>
            </a:graphic>
          </wp:inline>
        </w:drawing>
      </w:r>
    </w:p>
    <w:p>
      <w:pPr>
        <w:widowControl/>
        <w:spacing w:line="600" w:lineRule="exact"/>
        <w:jc w:val="both"/>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bookmarkStart w:id="0" w:name="_GoBack"/>
    </w:p>
    <w:bookmarkEnd w:id="0"/>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26719.1</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10162.1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7256.5</w:t>
      </w:r>
      <w:r>
        <w:rPr>
          <w:rFonts w:hint="eastAsia" w:ascii="仿宋" w:hAnsi="仿宋" w:eastAsia="仿宋"/>
          <w:sz w:val="30"/>
          <w:szCs w:val="30"/>
        </w:rPr>
        <w:t>万元，增长</w:t>
      </w:r>
      <w:r>
        <w:rPr>
          <w:rFonts w:hint="eastAsia" w:ascii="仿宋" w:hAnsi="仿宋" w:eastAsia="仿宋"/>
          <w:sz w:val="30"/>
          <w:szCs w:val="30"/>
          <w:lang w:val="en-US" w:eastAsia="zh-CN"/>
        </w:rPr>
        <w:t>249.74</w:t>
      </w:r>
      <w:r>
        <w:rPr>
          <w:rFonts w:hint="eastAsia" w:ascii="仿宋" w:hAnsi="仿宋" w:eastAsia="仿宋"/>
          <w:sz w:val="30"/>
          <w:szCs w:val="30"/>
        </w:rPr>
        <w:t>%；本年收入合计</w:t>
      </w:r>
      <w:r>
        <w:rPr>
          <w:rFonts w:hint="eastAsia" w:ascii="仿宋" w:hAnsi="仿宋" w:eastAsia="仿宋"/>
          <w:sz w:val="30"/>
          <w:szCs w:val="30"/>
          <w:lang w:val="en-US" w:eastAsia="zh-CN"/>
        </w:rPr>
        <w:t>22086.6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2546.5</w:t>
      </w:r>
      <w:r>
        <w:rPr>
          <w:rFonts w:hint="eastAsia" w:ascii="仿宋" w:hAnsi="仿宋" w:eastAsia="仿宋"/>
          <w:sz w:val="30"/>
          <w:szCs w:val="30"/>
        </w:rPr>
        <w:t>万元，下降</w:t>
      </w:r>
      <w:r>
        <w:rPr>
          <w:rFonts w:hint="eastAsia" w:ascii="仿宋" w:hAnsi="仿宋" w:eastAsia="仿宋"/>
          <w:sz w:val="30"/>
          <w:szCs w:val="30"/>
          <w:lang w:val="en-US" w:eastAsia="zh-CN"/>
        </w:rPr>
        <w:t>10.34</w:t>
      </w:r>
      <w:r>
        <w:rPr>
          <w:rFonts w:hint="eastAsia" w:ascii="仿宋" w:hAnsi="仿宋" w:eastAsia="仿宋"/>
          <w:sz w:val="30"/>
          <w:szCs w:val="30"/>
        </w:rPr>
        <w:t>%，主要原因是：</w:t>
      </w:r>
      <w:r>
        <w:rPr>
          <w:rFonts w:hint="eastAsia" w:ascii="仿宋" w:hAnsi="仿宋" w:eastAsia="仿宋"/>
          <w:sz w:val="30"/>
          <w:szCs w:val="30"/>
          <w:lang w:val="en-US" w:eastAsia="zh-CN"/>
        </w:rPr>
        <w:t>高等教育拨款减少</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21495.4</w:t>
      </w:r>
      <w:r>
        <w:rPr>
          <w:rFonts w:hint="eastAsia" w:ascii="仿宋" w:hAnsi="仿宋" w:eastAsia="仿宋"/>
          <w:sz w:val="30"/>
          <w:szCs w:val="30"/>
        </w:rPr>
        <w:t>万元，占</w:t>
      </w:r>
      <w:r>
        <w:rPr>
          <w:rFonts w:hint="eastAsia" w:ascii="仿宋" w:hAnsi="仿宋" w:eastAsia="仿宋"/>
          <w:sz w:val="30"/>
          <w:szCs w:val="30"/>
          <w:lang w:val="en-US" w:eastAsia="zh-CN"/>
        </w:rPr>
        <w:t>97.32</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591.2</w:t>
      </w:r>
      <w:r>
        <w:rPr>
          <w:rFonts w:hint="eastAsia" w:ascii="仿宋" w:hAnsi="仿宋" w:eastAsia="仿宋"/>
          <w:sz w:val="30"/>
          <w:szCs w:val="30"/>
        </w:rPr>
        <w:t>万元，占</w:t>
      </w:r>
      <w:r>
        <w:rPr>
          <w:rFonts w:hint="eastAsia" w:ascii="仿宋" w:hAnsi="仿宋" w:eastAsia="仿宋"/>
          <w:sz w:val="30"/>
          <w:szCs w:val="30"/>
          <w:lang w:val="en-US" w:eastAsia="zh-CN"/>
        </w:rPr>
        <w:t>2.68</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26719.1</w:t>
      </w:r>
      <w:r>
        <w:rPr>
          <w:rFonts w:hint="eastAsia" w:ascii="仿宋" w:hAnsi="仿宋" w:eastAsia="仿宋"/>
          <w:sz w:val="30"/>
          <w:szCs w:val="30"/>
        </w:rPr>
        <w:t>万元，其中本年支出合计</w:t>
      </w:r>
      <w:r>
        <w:rPr>
          <w:rFonts w:hint="eastAsia" w:ascii="仿宋" w:hAnsi="仿宋" w:eastAsia="仿宋"/>
          <w:sz w:val="30"/>
          <w:szCs w:val="30"/>
          <w:lang w:val="en-US" w:eastAsia="zh-CN"/>
        </w:rPr>
        <w:t>23148.1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3147.5</w:t>
      </w:r>
      <w:r>
        <w:rPr>
          <w:rFonts w:hint="eastAsia" w:ascii="仿宋" w:hAnsi="仿宋" w:eastAsia="仿宋"/>
          <w:sz w:val="30"/>
          <w:szCs w:val="30"/>
        </w:rPr>
        <w:t>万元，增长</w:t>
      </w:r>
      <w:r>
        <w:rPr>
          <w:rFonts w:hint="eastAsia" w:ascii="仿宋" w:hAnsi="仿宋" w:eastAsia="仿宋"/>
          <w:sz w:val="30"/>
          <w:szCs w:val="30"/>
          <w:lang w:val="en-US" w:eastAsia="zh-CN"/>
        </w:rPr>
        <w:t>15.74</w:t>
      </w:r>
      <w:r>
        <w:rPr>
          <w:rFonts w:hint="eastAsia" w:ascii="仿宋" w:hAnsi="仿宋" w:eastAsia="仿宋"/>
          <w:sz w:val="30"/>
          <w:szCs w:val="30"/>
        </w:rPr>
        <w:t>%，主要原因是：</w:t>
      </w:r>
      <w:r>
        <w:rPr>
          <w:rFonts w:hint="eastAsia" w:ascii="仿宋" w:hAnsi="仿宋" w:eastAsia="仿宋"/>
          <w:sz w:val="30"/>
          <w:szCs w:val="30"/>
          <w:lang w:val="en-US" w:eastAsia="zh-CN"/>
        </w:rPr>
        <w:t>新校区搬迁加上本科评估购买了教学专用设备等费用</w:t>
      </w:r>
      <w:r>
        <w:rPr>
          <w:rFonts w:hint="eastAsia" w:ascii="仿宋" w:hAnsi="仿宋" w:eastAsia="仿宋"/>
          <w:sz w:val="30"/>
          <w:szCs w:val="30"/>
        </w:rPr>
        <w:t>；年末结转和结余</w:t>
      </w:r>
      <w:r>
        <w:rPr>
          <w:rFonts w:hint="eastAsia" w:ascii="仿宋" w:hAnsi="仿宋" w:eastAsia="仿宋"/>
          <w:sz w:val="30"/>
          <w:szCs w:val="30"/>
          <w:lang w:val="en-US" w:eastAsia="zh-CN"/>
        </w:rPr>
        <w:t>3570.96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1061.54</w:t>
      </w:r>
      <w:r>
        <w:rPr>
          <w:rFonts w:hint="eastAsia" w:ascii="仿宋" w:hAnsi="仿宋" w:eastAsia="仿宋"/>
          <w:sz w:val="30"/>
          <w:szCs w:val="30"/>
        </w:rPr>
        <w:t>万元，下降</w:t>
      </w:r>
      <w:r>
        <w:rPr>
          <w:rFonts w:hint="eastAsia" w:ascii="仿宋" w:hAnsi="仿宋" w:eastAsia="仿宋"/>
          <w:sz w:val="30"/>
          <w:szCs w:val="30"/>
          <w:lang w:val="en-US" w:eastAsia="zh-CN"/>
        </w:rPr>
        <w:t>22.92</w:t>
      </w:r>
      <w:r>
        <w:rPr>
          <w:rFonts w:hint="eastAsia" w:ascii="仿宋" w:hAnsi="仿宋" w:eastAsia="仿宋"/>
          <w:sz w:val="30"/>
          <w:szCs w:val="30"/>
        </w:rPr>
        <w:t>%，主要原因是：</w:t>
      </w:r>
      <w:r>
        <w:rPr>
          <w:rFonts w:hint="eastAsia" w:ascii="仿宋" w:hAnsi="仿宋" w:eastAsia="仿宋"/>
          <w:sz w:val="30"/>
          <w:szCs w:val="30"/>
          <w:lang w:val="en-US" w:eastAsia="zh-CN"/>
        </w:rPr>
        <w:t>使用中央专项资金购买专用设备款</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19092.5</w:t>
      </w:r>
      <w:r>
        <w:rPr>
          <w:rFonts w:hint="eastAsia" w:ascii="仿宋" w:hAnsi="仿宋" w:eastAsia="仿宋"/>
          <w:sz w:val="30"/>
          <w:szCs w:val="30"/>
        </w:rPr>
        <w:t>万元，占</w:t>
      </w:r>
      <w:r>
        <w:rPr>
          <w:rFonts w:hint="eastAsia" w:ascii="仿宋" w:hAnsi="仿宋" w:eastAsia="仿宋"/>
          <w:sz w:val="30"/>
          <w:szCs w:val="30"/>
          <w:lang w:val="en-US" w:eastAsia="zh-CN"/>
        </w:rPr>
        <w:t>82.5</w:t>
      </w:r>
      <w:r>
        <w:rPr>
          <w:rFonts w:hint="eastAsia" w:ascii="仿宋" w:hAnsi="仿宋" w:eastAsia="仿宋"/>
          <w:sz w:val="30"/>
          <w:szCs w:val="30"/>
        </w:rPr>
        <w:t>%；项目支出</w:t>
      </w:r>
      <w:r>
        <w:rPr>
          <w:rFonts w:hint="eastAsia" w:ascii="仿宋" w:hAnsi="仿宋" w:eastAsia="仿宋"/>
          <w:sz w:val="30"/>
          <w:szCs w:val="30"/>
          <w:lang w:val="en-US" w:eastAsia="zh-CN"/>
        </w:rPr>
        <w:t>4055.6</w:t>
      </w:r>
      <w:r>
        <w:rPr>
          <w:rFonts w:hint="eastAsia" w:ascii="仿宋" w:hAnsi="仿宋" w:eastAsia="仿宋"/>
          <w:sz w:val="30"/>
          <w:szCs w:val="30"/>
        </w:rPr>
        <w:t>万元，占</w:t>
      </w:r>
      <w:r>
        <w:rPr>
          <w:rFonts w:hint="eastAsia" w:ascii="仿宋" w:hAnsi="仿宋" w:eastAsia="仿宋"/>
          <w:sz w:val="30"/>
          <w:szCs w:val="30"/>
          <w:lang w:val="en-US" w:eastAsia="zh-CN"/>
        </w:rPr>
        <w:t>17.5</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26852.07</w:t>
      </w:r>
      <w:r>
        <w:rPr>
          <w:rFonts w:hint="eastAsia" w:ascii="仿宋" w:hAnsi="仿宋" w:eastAsia="仿宋"/>
          <w:sz w:val="30"/>
          <w:szCs w:val="30"/>
        </w:rPr>
        <w:t>万元，决算数为</w:t>
      </w:r>
      <w:r>
        <w:rPr>
          <w:rFonts w:hint="eastAsia" w:ascii="仿宋" w:hAnsi="仿宋" w:eastAsia="仿宋"/>
          <w:sz w:val="30"/>
          <w:szCs w:val="30"/>
          <w:lang w:val="en-US" w:eastAsia="zh-CN"/>
        </w:rPr>
        <w:t>22556.98</w:t>
      </w:r>
      <w:r>
        <w:rPr>
          <w:rFonts w:hint="eastAsia" w:ascii="仿宋" w:hAnsi="仿宋" w:eastAsia="仿宋"/>
          <w:sz w:val="30"/>
          <w:szCs w:val="30"/>
        </w:rPr>
        <w:t>万元，完成年初预算的</w:t>
      </w:r>
      <w:r>
        <w:rPr>
          <w:rFonts w:hint="eastAsia" w:ascii="仿宋" w:hAnsi="仿宋" w:eastAsia="仿宋"/>
          <w:sz w:val="30"/>
          <w:szCs w:val="30"/>
          <w:lang w:val="en-US" w:eastAsia="zh-CN"/>
        </w:rPr>
        <w:t>84</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1</w:t>
      </w:r>
      <w:r>
        <w:rPr>
          <w:rFonts w:hint="eastAsia" w:ascii="仿宋" w:hAnsi="仿宋" w:eastAsia="仿宋"/>
          <w:sz w:val="30"/>
          <w:szCs w:val="30"/>
        </w:rPr>
        <w:t>万元，完成年初预算的</w:t>
      </w:r>
      <w:r>
        <w:rPr>
          <w:rFonts w:hint="eastAsia" w:ascii="仿宋" w:hAnsi="仿宋" w:eastAsia="仿宋"/>
          <w:sz w:val="30"/>
          <w:szCs w:val="30"/>
          <w:lang w:val="en-US" w:eastAsia="zh-CN"/>
        </w:rPr>
        <w:t>0</w:t>
      </w:r>
      <w:r>
        <w:rPr>
          <w:rFonts w:hint="eastAsia" w:ascii="仿宋" w:hAnsi="仿宋" w:eastAsia="仿宋"/>
          <w:sz w:val="30"/>
          <w:szCs w:val="30"/>
        </w:rPr>
        <w:t>%，主要原因是：</w:t>
      </w:r>
      <w:r>
        <w:rPr>
          <w:rFonts w:hint="eastAsia" w:ascii="仿宋" w:hAnsi="仿宋" w:eastAsia="仿宋"/>
          <w:sz w:val="30"/>
          <w:szCs w:val="30"/>
          <w:lang w:val="en-US" w:eastAsia="zh-CN"/>
        </w:rPr>
        <w:t>新增项目拨款</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sz w:val="30"/>
          <w:szCs w:val="30"/>
          <w:lang w:val="en-US" w:eastAsia="zh-CN"/>
        </w:rPr>
        <w:t>教育</w:t>
      </w:r>
      <w:r>
        <w:rPr>
          <w:rFonts w:hint="eastAsia" w:ascii="仿宋" w:hAnsi="仿宋" w:eastAsia="仿宋"/>
          <w:sz w:val="30"/>
          <w:szCs w:val="30"/>
        </w:rPr>
        <w:t>支出年初预算数为</w:t>
      </w:r>
      <w:r>
        <w:rPr>
          <w:rFonts w:hint="eastAsia" w:ascii="仿宋" w:hAnsi="仿宋" w:eastAsia="仿宋"/>
          <w:sz w:val="30"/>
          <w:szCs w:val="30"/>
          <w:lang w:val="en-US" w:eastAsia="zh-CN"/>
        </w:rPr>
        <w:t>25208.07</w:t>
      </w:r>
      <w:r>
        <w:rPr>
          <w:rFonts w:hint="eastAsia" w:ascii="仿宋" w:hAnsi="仿宋" w:eastAsia="仿宋"/>
          <w:sz w:val="30"/>
          <w:szCs w:val="30"/>
        </w:rPr>
        <w:t>万元，决算数为</w:t>
      </w:r>
      <w:r>
        <w:rPr>
          <w:rFonts w:hint="eastAsia" w:ascii="仿宋" w:hAnsi="仿宋" w:eastAsia="仿宋"/>
          <w:sz w:val="30"/>
          <w:szCs w:val="30"/>
          <w:lang w:val="en-US" w:eastAsia="zh-CN"/>
        </w:rPr>
        <w:t>20905.98</w:t>
      </w:r>
      <w:r>
        <w:rPr>
          <w:rFonts w:hint="eastAsia" w:ascii="仿宋" w:hAnsi="仿宋" w:eastAsia="仿宋"/>
          <w:sz w:val="30"/>
          <w:szCs w:val="30"/>
        </w:rPr>
        <w:t>万元，完成年初预算的</w:t>
      </w:r>
      <w:r>
        <w:rPr>
          <w:rFonts w:hint="eastAsia" w:ascii="仿宋" w:hAnsi="仿宋" w:eastAsia="仿宋"/>
          <w:sz w:val="30"/>
          <w:szCs w:val="30"/>
          <w:lang w:val="en-US" w:eastAsia="zh-CN"/>
        </w:rPr>
        <w:t>82.93</w:t>
      </w:r>
      <w:r>
        <w:rPr>
          <w:rFonts w:hint="eastAsia" w:ascii="仿宋" w:hAnsi="仿宋" w:eastAsia="仿宋"/>
          <w:sz w:val="30"/>
          <w:szCs w:val="30"/>
        </w:rPr>
        <w:t>%，主要原因是：</w:t>
      </w:r>
      <w:r>
        <w:rPr>
          <w:rFonts w:hint="eastAsia" w:ascii="仿宋" w:hAnsi="仿宋" w:eastAsia="仿宋"/>
          <w:sz w:val="30"/>
          <w:szCs w:val="30"/>
          <w:lang w:val="en-US" w:eastAsia="zh-CN"/>
        </w:rPr>
        <w:t>由于新校区搬迁教学类设备款未支付</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三</w:t>
      </w:r>
      <w:r>
        <w:rPr>
          <w:rFonts w:hint="eastAsia" w:ascii="仿宋" w:hAnsi="仿宋" w:eastAsia="仿宋"/>
          <w:sz w:val="30"/>
          <w:szCs w:val="30"/>
        </w:rPr>
        <w:t>）</w:t>
      </w:r>
      <w:r>
        <w:rPr>
          <w:rFonts w:hint="eastAsia" w:ascii="仿宋" w:hAnsi="仿宋" w:eastAsia="仿宋"/>
          <w:sz w:val="30"/>
          <w:szCs w:val="30"/>
          <w:lang w:val="en-US" w:eastAsia="zh-CN"/>
        </w:rPr>
        <w:t>社会保障和就业</w:t>
      </w:r>
      <w:r>
        <w:rPr>
          <w:rFonts w:hint="eastAsia" w:ascii="仿宋" w:hAnsi="仿宋" w:eastAsia="仿宋"/>
          <w:sz w:val="30"/>
          <w:szCs w:val="30"/>
        </w:rPr>
        <w:t>支出年初预算数为</w:t>
      </w:r>
      <w:r>
        <w:rPr>
          <w:rFonts w:hint="eastAsia" w:ascii="仿宋" w:hAnsi="仿宋" w:eastAsia="仿宋"/>
          <w:sz w:val="30"/>
          <w:szCs w:val="30"/>
          <w:lang w:val="en-US" w:eastAsia="zh-CN"/>
        </w:rPr>
        <w:t>852</w:t>
      </w:r>
      <w:r>
        <w:rPr>
          <w:rFonts w:hint="eastAsia" w:ascii="仿宋" w:hAnsi="仿宋" w:eastAsia="仿宋"/>
          <w:sz w:val="30"/>
          <w:szCs w:val="30"/>
        </w:rPr>
        <w:t>万元，决算数为</w:t>
      </w:r>
      <w:r>
        <w:rPr>
          <w:rFonts w:hint="eastAsia" w:ascii="仿宋" w:hAnsi="仿宋" w:eastAsia="仿宋"/>
          <w:sz w:val="30"/>
          <w:szCs w:val="30"/>
          <w:lang w:val="en-US" w:eastAsia="zh-CN"/>
        </w:rPr>
        <w:t>852</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val="en-US" w:eastAsia="zh-CN"/>
        </w:rPr>
        <w:t>固定基本支出</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四</w:t>
      </w:r>
      <w:r>
        <w:rPr>
          <w:rFonts w:hint="eastAsia" w:ascii="仿宋" w:hAnsi="仿宋" w:eastAsia="仿宋"/>
          <w:sz w:val="30"/>
          <w:szCs w:val="30"/>
        </w:rPr>
        <w:t>）</w:t>
      </w:r>
      <w:r>
        <w:rPr>
          <w:rFonts w:hint="eastAsia" w:ascii="仿宋" w:hAnsi="仿宋" w:eastAsia="仿宋"/>
          <w:sz w:val="30"/>
          <w:szCs w:val="30"/>
          <w:lang w:val="en-US" w:eastAsia="zh-CN"/>
        </w:rPr>
        <w:t>卫生健康</w:t>
      </w:r>
      <w:r>
        <w:rPr>
          <w:rFonts w:hint="eastAsia" w:ascii="仿宋" w:hAnsi="仿宋" w:eastAsia="仿宋"/>
          <w:sz w:val="30"/>
          <w:szCs w:val="30"/>
        </w:rPr>
        <w:t>支出年初预算数为</w:t>
      </w:r>
      <w:r>
        <w:rPr>
          <w:rFonts w:hint="eastAsia" w:ascii="仿宋" w:hAnsi="仿宋" w:eastAsia="仿宋"/>
          <w:sz w:val="30"/>
          <w:szCs w:val="30"/>
          <w:lang w:val="en-US" w:eastAsia="zh-CN"/>
        </w:rPr>
        <w:t>192</w:t>
      </w:r>
      <w:r>
        <w:rPr>
          <w:rFonts w:hint="eastAsia" w:ascii="仿宋" w:hAnsi="仿宋" w:eastAsia="仿宋"/>
          <w:sz w:val="30"/>
          <w:szCs w:val="30"/>
        </w:rPr>
        <w:t>万元，决算数为</w:t>
      </w:r>
      <w:r>
        <w:rPr>
          <w:rFonts w:hint="eastAsia" w:ascii="仿宋" w:hAnsi="仿宋" w:eastAsia="仿宋"/>
          <w:sz w:val="30"/>
          <w:szCs w:val="30"/>
          <w:lang w:val="en-US" w:eastAsia="zh-CN"/>
        </w:rPr>
        <w:t>192</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val="en-US" w:eastAsia="zh-CN"/>
        </w:rPr>
        <w:t>固定基本支出</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五</w:t>
      </w:r>
      <w:r>
        <w:rPr>
          <w:rFonts w:hint="eastAsia" w:ascii="仿宋" w:hAnsi="仿宋" w:eastAsia="仿宋"/>
          <w:sz w:val="30"/>
          <w:szCs w:val="30"/>
        </w:rPr>
        <w:t>）</w:t>
      </w:r>
      <w:r>
        <w:rPr>
          <w:rFonts w:hint="eastAsia" w:ascii="仿宋" w:hAnsi="仿宋" w:eastAsia="仿宋"/>
          <w:sz w:val="30"/>
          <w:szCs w:val="30"/>
          <w:lang w:val="en-US" w:eastAsia="zh-CN"/>
        </w:rPr>
        <w:t>节能环保</w:t>
      </w:r>
      <w:r>
        <w:rPr>
          <w:rFonts w:hint="eastAsia" w:ascii="仿宋" w:hAnsi="仿宋" w:eastAsia="仿宋"/>
          <w:sz w:val="30"/>
          <w:szCs w:val="30"/>
        </w:rPr>
        <w:t>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6</w:t>
      </w:r>
      <w:r>
        <w:rPr>
          <w:rFonts w:hint="eastAsia" w:ascii="仿宋" w:hAnsi="仿宋" w:eastAsia="仿宋"/>
          <w:sz w:val="30"/>
          <w:szCs w:val="30"/>
        </w:rPr>
        <w:t>万元，完成年初预算的</w:t>
      </w:r>
      <w:r>
        <w:rPr>
          <w:rFonts w:hint="eastAsia" w:ascii="仿宋" w:hAnsi="仿宋" w:eastAsia="仿宋"/>
          <w:sz w:val="30"/>
          <w:szCs w:val="30"/>
          <w:lang w:val="en-US" w:eastAsia="zh-CN"/>
        </w:rPr>
        <w:t>0</w:t>
      </w:r>
      <w:r>
        <w:rPr>
          <w:rFonts w:hint="eastAsia" w:ascii="仿宋" w:hAnsi="仿宋" w:eastAsia="仿宋"/>
          <w:sz w:val="30"/>
          <w:szCs w:val="30"/>
        </w:rPr>
        <w:t>%，主要原因是：</w:t>
      </w:r>
      <w:r>
        <w:rPr>
          <w:rFonts w:hint="eastAsia" w:ascii="仿宋" w:hAnsi="仿宋" w:eastAsia="仿宋"/>
          <w:sz w:val="30"/>
          <w:szCs w:val="30"/>
          <w:lang w:val="en-US" w:eastAsia="zh-CN"/>
        </w:rPr>
        <w:t>新增项目拨款</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六</w:t>
      </w:r>
      <w:r>
        <w:rPr>
          <w:rFonts w:hint="eastAsia" w:ascii="仿宋" w:hAnsi="仿宋" w:eastAsia="仿宋"/>
          <w:sz w:val="30"/>
          <w:szCs w:val="30"/>
        </w:rPr>
        <w:t>）</w:t>
      </w:r>
      <w:r>
        <w:rPr>
          <w:rFonts w:hint="eastAsia" w:ascii="仿宋" w:hAnsi="仿宋" w:eastAsia="仿宋"/>
          <w:sz w:val="30"/>
          <w:szCs w:val="30"/>
          <w:lang w:val="en-US" w:eastAsia="zh-CN"/>
        </w:rPr>
        <w:t>住房保障</w:t>
      </w:r>
      <w:r>
        <w:rPr>
          <w:rFonts w:hint="eastAsia" w:ascii="仿宋" w:hAnsi="仿宋" w:eastAsia="仿宋"/>
          <w:sz w:val="30"/>
          <w:szCs w:val="30"/>
        </w:rPr>
        <w:t>支出年初预算数为</w:t>
      </w:r>
      <w:r>
        <w:rPr>
          <w:rFonts w:hint="eastAsia" w:ascii="仿宋" w:hAnsi="仿宋" w:eastAsia="仿宋"/>
          <w:sz w:val="30"/>
          <w:szCs w:val="30"/>
          <w:lang w:val="en-US" w:eastAsia="zh-CN"/>
        </w:rPr>
        <w:t>600</w:t>
      </w:r>
      <w:r>
        <w:rPr>
          <w:rFonts w:hint="eastAsia" w:ascii="仿宋" w:hAnsi="仿宋" w:eastAsia="仿宋"/>
          <w:sz w:val="30"/>
          <w:szCs w:val="30"/>
        </w:rPr>
        <w:t>万元，决算数为</w:t>
      </w:r>
      <w:r>
        <w:rPr>
          <w:rFonts w:hint="eastAsia" w:ascii="仿宋" w:hAnsi="仿宋" w:eastAsia="仿宋"/>
          <w:sz w:val="30"/>
          <w:szCs w:val="30"/>
          <w:lang w:val="en-US" w:eastAsia="zh-CN"/>
        </w:rPr>
        <w:t>600</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val="en-US" w:eastAsia="zh-CN"/>
        </w:rPr>
        <w:t>固定基本支出</w:t>
      </w:r>
      <w:r>
        <w:rPr>
          <w:rFonts w:hint="eastAsia" w:ascii="仿宋" w:hAnsi="仿宋" w:eastAsia="仿宋"/>
          <w:sz w:val="30"/>
          <w:szCs w:val="30"/>
        </w:rPr>
        <w:t>。</w:t>
      </w: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18501.4</w:t>
      </w:r>
      <w:r>
        <w:rPr>
          <w:rFonts w:hint="eastAsia" w:ascii="仿宋" w:hAnsi="仿宋" w:eastAsia="仿宋"/>
          <w:sz w:val="30"/>
          <w:szCs w:val="30"/>
        </w:rPr>
        <w:t>万元，其中：</w:t>
      </w:r>
    </w:p>
    <w:p>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11388.6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1667.9</w:t>
      </w:r>
      <w:r>
        <w:rPr>
          <w:rFonts w:hint="eastAsia" w:ascii="仿宋" w:hAnsi="仿宋" w:eastAsia="仿宋"/>
          <w:sz w:val="30"/>
          <w:szCs w:val="30"/>
        </w:rPr>
        <w:t xml:space="preserve">  万元，增长</w:t>
      </w:r>
      <w:r>
        <w:rPr>
          <w:rFonts w:hint="eastAsia" w:ascii="仿宋" w:hAnsi="仿宋" w:eastAsia="仿宋"/>
          <w:sz w:val="30"/>
          <w:szCs w:val="30"/>
          <w:lang w:val="en-US" w:eastAsia="zh-CN"/>
        </w:rPr>
        <w:t>17.16</w:t>
      </w:r>
      <w:r>
        <w:rPr>
          <w:rFonts w:hint="eastAsia" w:ascii="仿宋" w:hAnsi="仿宋" w:eastAsia="仿宋"/>
          <w:sz w:val="30"/>
          <w:szCs w:val="30"/>
        </w:rPr>
        <w:t xml:space="preserve"> %，主要原因是：</w:t>
      </w:r>
      <w:r>
        <w:rPr>
          <w:rFonts w:hint="eastAsia" w:ascii="仿宋" w:hAnsi="仿宋" w:eastAsia="仿宋"/>
          <w:sz w:val="30"/>
          <w:szCs w:val="30"/>
          <w:lang w:eastAsia="zh-CN"/>
        </w:rPr>
        <w:t>工资标准提高</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4834.2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1397</w:t>
      </w:r>
      <w:r>
        <w:rPr>
          <w:rFonts w:hint="eastAsia" w:ascii="仿宋" w:hAnsi="仿宋" w:eastAsia="仿宋"/>
          <w:sz w:val="30"/>
          <w:szCs w:val="30"/>
        </w:rPr>
        <w:t>万元，增长</w:t>
      </w:r>
      <w:r>
        <w:rPr>
          <w:rFonts w:hint="eastAsia" w:ascii="仿宋" w:hAnsi="仿宋" w:eastAsia="仿宋"/>
          <w:sz w:val="30"/>
          <w:szCs w:val="30"/>
          <w:lang w:val="en-US" w:eastAsia="zh-CN"/>
        </w:rPr>
        <w:t>40.64</w:t>
      </w:r>
      <w:r>
        <w:rPr>
          <w:rFonts w:hint="eastAsia" w:ascii="仿宋" w:hAnsi="仿宋" w:eastAsia="仿宋"/>
          <w:sz w:val="30"/>
          <w:szCs w:val="30"/>
        </w:rPr>
        <w:t>%，主要原因是：</w:t>
      </w:r>
      <w:r>
        <w:rPr>
          <w:rFonts w:hint="eastAsia" w:ascii="仿宋" w:hAnsi="仿宋" w:eastAsia="仿宋"/>
          <w:sz w:val="30"/>
          <w:szCs w:val="30"/>
          <w:lang w:val="en-US" w:eastAsia="zh-CN"/>
        </w:rPr>
        <w:t>由于学院进行本科评估，办公费增加了60万元，印刷费增加了120万元，专用材料费增加了250万元，评估专家等劳务费增加了600万元，搬迁新校区</w:t>
      </w:r>
      <w:r>
        <w:rPr>
          <w:rFonts w:hint="eastAsia" w:ascii="仿宋" w:hAnsi="仿宋" w:eastAsia="仿宋"/>
          <w:sz w:val="30"/>
          <w:szCs w:val="30"/>
        </w:rPr>
        <w:t>电费开支</w:t>
      </w:r>
      <w:r>
        <w:rPr>
          <w:rFonts w:hint="eastAsia" w:ascii="仿宋" w:hAnsi="仿宋" w:eastAsia="仿宋"/>
          <w:sz w:val="30"/>
          <w:szCs w:val="30"/>
          <w:lang w:eastAsia="zh-CN"/>
        </w:rPr>
        <w:t>增加了</w:t>
      </w:r>
      <w:r>
        <w:rPr>
          <w:rFonts w:hint="eastAsia" w:ascii="仿宋" w:hAnsi="仿宋" w:eastAsia="仿宋"/>
          <w:sz w:val="30"/>
          <w:szCs w:val="30"/>
          <w:lang w:val="en-US" w:eastAsia="zh-CN"/>
        </w:rPr>
        <w:t>250万元</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450.1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545.3</w:t>
      </w:r>
      <w:r>
        <w:rPr>
          <w:rFonts w:hint="eastAsia" w:ascii="仿宋" w:hAnsi="仿宋" w:eastAsia="仿宋"/>
          <w:sz w:val="30"/>
          <w:szCs w:val="30"/>
        </w:rPr>
        <w:t>万元，下降</w:t>
      </w:r>
      <w:r>
        <w:rPr>
          <w:rFonts w:hint="eastAsia" w:ascii="仿宋" w:hAnsi="仿宋" w:eastAsia="仿宋"/>
          <w:sz w:val="30"/>
          <w:szCs w:val="30"/>
          <w:lang w:val="en-US" w:eastAsia="zh-CN"/>
        </w:rPr>
        <w:t>54.78</w:t>
      </w:r>
      <w:r>
        <w:rPr>
          <w:rFonts w:hint="eastAsia" w:ascii="仿宋" w:hAnsi="仿宋" w:eastAsia="仿宋"/>
          <w:sz w:val="30"/>
          <w:szCs w:val="30"/>
        </w:rPr>
        <w:t>%，主要原因是：</w:t>
      </w:r>
      <w:r>
        <w:rPr>
          <w:rFonts w:hint="eastAsia" w:ascii="仿宋" w:hAnsi="仿宋" w:eastAsia="仿宋"/>
          <w:sz w:val="30"/>
          <w:szCs w:val="30"/>
          <w:lang w:val="en-US" w:eastAsia="zh-CN"/>
        </w:rPr>
        <w:t>退休人员工资由社保发放</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1828.5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543.9</w:t>
      </w:r>
      <w:r>
        <w:rPr>
          <w:rFonts w:hint="eastAsia" w:ascii="仿宋" w:hAnsi="仿宋" w:eastAsia="仿宋"/>
          <w:sz w:val="30"/>
          <w:szCs w:val="30"/>
        </w:rPr>
        <w:t>万元，下降</w:t>
      </w:r>
      <w:r>
        <w:rPr>
          <w:rFonts w:hint="eastAsia" w:ascii="仿宋" w:hAnsi="仿宋" w:eastAsia="仿宋"/>
          <w:sz w:val="30"/>
          <w:szCs w:val="30"/>
          <w:lang w:val="en-US" w:eastAsia="zh-CN"/>
        </w:rPr>
        <w:t>22.93</w:t>
      </w:r>
      <w:r>
        <w:rPr>
          <w:rFonts w:hint="eastAsia" w:ascii="仿宋" w:hAnsi="仿宋" w:eastAsia="仿宋"/>
          <w:sz w:val="30"/>
          <w:szCs w:val="30"/>
        </w:rPr>
        <w:t>%，主要原因是：</w:t>
      </w:r>
      <w:r>
        <w:rPr>
          <w:rFonts w:hint="eastAsia" w:ascii="仿宋" w:hAnsi="仿宋" w:eastAsia="仿宋"/>
          <w:sz w:val="30"/>
          <w:szCs w:val="30"/>
          <w:lang w:val="en-US" w:eastAsia="zh-CN"/>
        </w:rPr>
        <w:t>学院专用设备购置减少</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170</w:t>
      </w:r>
      <w:r>
        <w:rPr>
          <w:rFonts w:hint="eastAsia" w:ascii="仿宋" w:hAnsi="仿宋" w:eastAsia="仿宋"/>
          <w:sz w:val="30"/>
          <w:szCs w:val="30"/>
        </w:rPr>
        <w:t>万元，决算数为</w:t>
      </w:r>
      <w:r>
        <w:rPr>
          <w:rFonts w:hint="eastAsia" w:ascii="仿宋" w:hAnsi="仿宋" w:eastAsia="仿宋"/>
          <w:sz w:val="30"/>
          <w:szCs w:val="30"/>
          <w:lang w:val="en-US" w:eastAsia="zh-CN"/>
        </w:rPr>
        <w:t>61.4</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36.12</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20.1</w:t>
      </w:r>
      <w:r>
        <w:rPr>
          <w:rFonts w:hint="eastAsia" w:ascii="仿宋" w:hAnsi="仿宋" w:eastAsia="仿宋"/>
          <w:sz w:val="30"/>
          <w:szCs w:val="30"/>
        </w:rPr>
        <w:t>万元，下降</w:t>
      </w:r>
      <w:r>
        <w:rPr>
          <w:rFonts w:hint="eastAsia" w:ascii="仿宋" w:hAnsi="仿宋" w:eastAsia="仿宋"/>
          <w:sz w:val="30"/>
          <w:szCs w:val="30"/>
          <w:lang w:val="en-US" w:eastAsia="zh-CN"/>
        </w:rPr>
        <w:t>24.66</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50</w:t>
      </w:r>
      <w:r>
        <w:rPr>
          <w:rFonts w:hint="eastAsia" w:ascii="仿宋" w:hAnsi="仿宋" w:eastAsia="仿宋"/>
          <w:sz w:val="30"/>
          <w:szCs w:val="30"/>
        </w:rPr>
        <w:t>万元，决算数为</w:t>
      </w:r>
      <w:r>
        <w:rPr>
          <w:rFonts w:hint="eastAsia" w:ascii="仿宋" w:hAnsi="仿宋" w:eastAsia="仿宋"/>
          <w:sz w:val="30"/>
          <w:szCs w:val="30"/>
          <w:lang w:val="en-US" w:eastAsia="zh-CN"/>
        </w:rPr>
        <w:t>16.3</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32.6</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28.3</w:t>
      </w:r>
      <w:r>
        <w:rPr>
          <w:rFonts w:hint="eastAsia" w:ascii="仿宋" w:hAnsi="仿宋" w:eastAsia="仿宋"/>
          <w:sz w:val="30"/>
          <w:szCs w:val="30"/>
        </w:rPr>
        <w:t xml:space="preserve">  万元，下降</w:t>
      </w:r>
      <w:r>
        <w:rPr>
          <w:rFonts w:hint="eastAsia" w:ascii="仿宋" w:hAnsi="仿宋" w:eastAsia="仿宋"/>
          <w:sz w:val="30"/>
          <w:szCs w:val="30"/>
          <w:lang w:val="en-US" w:eastAsia="zh-CN"/>
        </w:rPr>
        <w:t>63.45</w:t>
      </w:r>
      <w:r>
        <w:rPr>
          <w:rFonts w:hint="eastAsia" w:ascii="仿宋" w:hAnsi="仿宋" w:eastAsia="仿宋"/>
          <w:sz w:val="30"/>
          <w:szCs w:val="30"/>
        </w:rPr>
        <w:t>%。决算数较年初预算数减少的主要原因是：</w:t>
      </w:r>
      <w:r>
        <w:rPr>
          <w:rFonts w:hint="eastAsia" w:ascii="仿宋" w:hAnsi="仿宋" w:eastAsia="仿宋"/>
          <w:sz w:val="30"/>
          <w:szCs w:val="30"/>
          <w:lang w:val="en-US" w:eastAsia="zh-CN"/>
        </w:rPr>
        <w:t>因公出国人数减少</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70</w:t>
      </w:r>
      <w:r>
        <w:rPr>
          <w:rFonts w:hint="eastAsia" w:ascii="仿宋" w:hAnsi="仿宋" w:eastAsia="仿宋"/>
          <w:sz w:val="30"/>
          <w:szCs w:val="30"/>
        </w:rPr>
        <w:t>万元，决算数为</w:t>
      </w:r>
      <w:r>
        <w:rPr>
          <w:rFonts w:hint="eastAsia" w:ascii="仿宋" w:hAnsi="仿宋" w:eastAsia="仿宋"/>
          <w:sz w:val="30"/>
          <w:szCs w:val="30"/>
          <w:lang w:val="en-US" w:eastAsia="zh-CN"/>
        </w:rPr>
        <w:t>21.8</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31.14</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9.1</w:t>
      </w:r>
      <w:r>
        <w:rPr>
          <w:rFonts w:hint="eastAsia" w:ascii="仿宋" w:hAnsi="仿宋" w:eastAsia="仿宋"/>
          <w:sz w:val="30"/>
          <w:szCs w:val="30"/>
        </w:rPr>
        <w:t>万元，增长</w:t>
      </w:r>
      <w:r>
        <w:rPr>
          <w:rFonts w:hint="eastAsia" w:ascii="仿宋" w:hAnsi="仿宋" w:eastAsia="仿宋"/>
          <w:sz w:val="30"/>
          <w:szCs w:val="30"/>
          <w:lang w:val="en-US" w:eastAsia="zh-CN"/>
        </w:rPr>
        <w:t>71.65</w:t>
      </w:r>
      <w:r>
        <w:rPr>
          <w:rFonts w:hint="eastAsia" w:ascii="仿宋" w:hAnsi="仿宋" w:eastAsia="仿宋"/>
          <w:sz w:val="30"/>
          <w:szCs w:val="30"/>
        </w:rPr>
        <w:t>%。决算数较年初预算数增加的主要原因是：</w:t>
      </w:r>
      <w:r>
        <w:rPr>
          <w:rFonts w:hint="eastAsia" w:ascii="仿宋" w:hAnsi="仿宋" w:eastAsia="仿宋"/>
          <w:sz w:val="30"/>
          <w:szCs w:val="30"/>
          <w:lang w:val="en-US" w:eastAsia="zh-CN"/>
        </w:rPr>
        <w:t>本科评估公务接待人数及费用增加</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23.2</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增加0</w:t>
      </w:r>
      <w:r>
        <w:rPr>
          <w:rFonts w:hint="eastAsia" w:ascii="仿宋" w:hAnsi="仿宋" w:eastAsia="仿宋"/>
          <w:sz w:val="30"/>
          <w:szCs w:val="30"/>
        </w:rPr>
        <w:t>万元，</w:t>
      </w:r>
      <w:r>
        <w:rPr>
          <w:rFonts w:hint="eastAsia" w:ascii="仿宋" w:hAnsi="仿宋" w:eastAsia="仿宋"/>
          <w:sz w:val="30"/>
          <w:szCs w:val="30"/>
          <w:lang w:val="en-US" w:eastAsia="zh-CN"/>
        </w:rPr>
        <w:t>增长0</w:t>
      </w:r>
      <w:r>
        <w:rPr>
          <w:rFonts w:hint="eastAsia" w:ascii="仿宋" w:hAnsi="仿宋" w:eastAsia="仿宋"/>
          <w:sz w:val="30"/>
          <w:szCs w:val="30"/>
        </w:rPr>
        <w:t>%。决算数较年初预算数</w:t>
      </w:r>
      <w:r>
        <w:rPr>
          <w:rFonts w:hint="eastAsia" w:ascii="仿宋" w:hAnsi="仿宋" w:eastAsia="仿宋"/>
          <w:sz w:val="30"/>
          <w:szCs w:val="30"/>
          <w:lang w:val="en-US" w:eastAsia="zh-CN"/>
        </w:rPr>
        <w:t>增加</w:t>
      </w:r>
      <w:r>
        <w:rPr>
          <w:rFonts w:hint="eastAsia" w:ascii="仿宋" w:hAnsi="仿宋" w:eastAsia="仿宋"/>
          <w:sz w:val="30"/>
          <w:szCs w:val="30"/>
        </w:rPr>
        <w:t>的主要原因是：</w:t>
      </w:r>
      <w:r>
        <w:rPr>
          <w:rFonts w:hint="eastAsia" w:ascii="仿宋" w:hAnsi="仿宋" w:eastAsia="仿宋"/>
          <w:sz w:val="30"/>
          <w:szCs w:val="30"/>
          <w:lang w:val="en-US" w:eastAsia="zh-CN"/>
        </w:rPr>
        <w:t>无公务用车购置费</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50</w:t>
      </w:r>
      <w:r>
        <w:rPr>
          <w:rFonts w:hint="eastAsia" w:ascii="仿宋" w:hAnsi="仿宋" w:eastAsia="仿宋"/>
          <w:sz w:val="30"/>
          <w:szCs w:val="30"/>
        </w:rPr>
        <w:t>万元，决算数为</w:t>
      </w:r>
      <w:r>
        <w:rPr>
          <w:rFonts w:hint="eastAsia" w:ascii="仿宋" w:hAnsi="仿宋" w:eastAsia="仿宋"/>
          <w:sz w:val="30"/>
          <w:szCs w:val="30"/>
          <w:lang w:val="en-US" w:eastAsia="zh-CN"/>
        </w:rPr>
        <w:t>23.2</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46.4</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1.1</w:t>
      </w:r>
      <w:r>
        <w:rPr>
          <w:rFonts w:hint="eastAsia" w:ascii="仿宋" w:hAnsi="仿宋" w:eastAsia="仿宋"/>
          <w:sz w:val="30"/>
          <w:szCs w:val="30"/>
        </w:rPr>
        <w:t>万元，下降</w:t>
      </w:r>
      <w:r>
        <w:rPr>
          <w:rFonts w:hint="eastAsia" w:ascii="仿宋" w:hAnsi="仿宋" w:eastAsia="仿宋"/>
          <w:sz w:val="30"/>
          <w:szCs w:val="30"/>
          <w:lang w:val="en-US" w:eastAsia="zh-CN"/>
        </w:rPr>
        <w:t>4.53</w:t>
      </w:r>
      <w:r>
        <w:rPr>
          <w:rFonts w:hint="eastAsia" w:ascii="仿宋" w:hAnsi="仿宋" w:eastAsia="仿宋"/>
          <w:sz w:val="30"/>
          <w:szCs w:val="30"/>
        </w:rPr>
        <w:t>%。决算数较年初预算数增加（减少）的主要原因是：</w:t>
      </w:r>
      <w:r>
        <w:rPr>
          <w:rFonts w:hint="eastAsia" w:ascii="仿宋" w:hAnsi="仿宋" w:eastAsia="仿宋"/>
          <w:sz w:val="30"/>
          <w:szCs w:val="30"/>
          <w:lang w:eastAsia="zh-CN"/>
        </w:rPr>
        <w:t>事业单位车辆改革，减少车辆开支。</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0</w:t>
      </w:r>
      <w:r>
        <w:rPr>
          <w:rFonts w:hint="eastAsia" w:ascii="仿宋" w:hAnsi="仿宋" w:eastAsia="仿宋"/>
          <w:sz w:val="30"/>
          <w:szCs w:val="30"/>
        </w:rPr>
        <w:t>万元（与部门决算中行政单位和参照公务员法管理事业单位一般公共预算财政拨款基本支出中公用经费之和保持一致），较年初预算数增加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%，主要原因是：</w:t>
      </w:r>
      <w:r>
        <w:rPr>
          <w:rFonts w:hint="eastAsia" w:ascii="仿宋" w:hAnsi="仿宋" w:eastAsia="仿宋"/>
          <w:b w:val="0"/>
          <w:bCs w:val="0"/>
          <w:sz w:val="30"/>
          <w:szCs w:val="30"/>
          <w:lang w:val="en-US" w:eastAsia="zh-CN"/>
        </w:rPr>
        <w:t>无机关运行经费支出</w:t>
      </w:r>
      <w:r>
        <w:rPr>
          <w:rFonts w:hint="eastAsia" w:ascii="仿宋" w:hAnsi="仿宋" w:eastAsia="仿宋"/>
          <w:b w:val="0"/>
          <w:bCs w:val="0"/>
          <w:sz w:val="30"/>
          <w:szCs w:val="30"/>
        </w:rPr>
        <w:t>。</w:t>
      </w:r>
      <w:r>
        <w:rPr>
          <w:rFonts w:hint="eastAsia" w:ascii="仿宋" w:hAnsi="仿宋" w:eastAsia="仿宋"/>
          <w:sz w:val="30"/>
          <w:szCs w:val="30"/>
        </w:rPr>
        <w:t xml:space="preserve"> </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4"/>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9238.55</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7771.25</w:t>
      </w:r>
      <w:r>
        <w:rPr>
          <w:rFonts w:hint="eastAsia" w:ascii="仿宋" w:hAnsi="仿宋" w:eastAsia="仿宋"/>
          <w:sz w:val="30"/>
          <w:szCs w:val="30"/>
        </w:rPr>
        <w:t>万元、政府采购工程支出</w:t>
      </w:r>
      <w:r>
        <w:rPr>
          <w:rFonts w:hint="eastAsia" w:ascii="仿宋" w:hAnsi="仿宋" w:eastAsia="仿宋"/>
          <w:sz w:val="30"/>
          <w:szCs w:val="30"/>
          <w:lang w:val="en-US" w:eastAsia="zh-CN"/>
        </w:rPr>
        <w:t>1065.64</w:t>
      </w:r>
      <w:r>
        <w:rPr>
          <w:rFonts w:hint="eastAsia" w:ascii="仿宋" w:hAnsi="仿宋" w:eastAsia="仿宋"/>
          <w:sz w:val="30"/>
          <w:szCs w:val="30"/>
        </w:rPr>
        <w:t>万元、政府采购服务支出</w:t>
      </w:r>
      <w:r>
        <w:rPr>
          <w:rFonts w:hint="eastAsia" w:ascii="仿宋" w:hAnsi="仿宋" w:eastAsia="仿宋"/>
          <w:sz w:val="30"/>
          <w:szCs w:val="30"/>
          <w:lang w:val="en-US" w:eastAsia="zh-CN"/>
        </w:rPr>
        <w:t>401.66</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8748.55</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94.7</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749.58</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8.11</w:t>
      </w:r>
      <w:r>
        <w:rPr>
          <w:rFonts w:hint="eastAsia" w:ascii="仿宋" w:hAnsi="仿宋" w:eastAsia="仿宋"/>
          <w:sz w:val="30"/>
          <w:szCs w:val="30"/>
        </w:rPr>
        <w:t>%。（省级部门公开的政府采购金额的计算口径为：本部门纳入201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国有资产占用情况见公开09表《国有资产占用情况表》。其中车辆中的</w:t>
      </w:r>
      <w:r>
        <w:rPr>
          <w:rFonts w:hint="eastAsia" w:ascii="仿宋" w:hAnsi="仿宋" w:eastAsia="仿宋"/>
          <w:kern w:val="0"/>
          <w:sz w:val="30"/>
          <w:szCs w:val="30"/>
        </w:rPr>
        <w:t>其他用车主要是</w:t>
      </w:r>
      <w:r>
        <w:rPr>
          <w:rFonts w:hint="eastAsia" w:ascii="仿宋" w:hAnsi="仿宋" w:eastAsia="仿宋"/>
          <w:kern w:val="0"/>
          <w:sz w:val="30"/>
          <w:szCs w:val="30"/>
          <w:lang w:eastAsia="zh-CN"/>
        </w:rPr>
        <w:t>一般公务用车、校车以及实验实训基地用车</w:t>
      </w:r>
      <w:r>
        <w:rPr>
          <w:rFonts w:hint="eastAsia" w:ascii="仿宋" w:hAnsi="仿宋" w:eastAsia="仿宋"/>
          <w:kern w:val="0"/>
          <w:sz w:val="30"/>
          <w:szCs w:val="30"/>
        </w:rPr>
        <w:t>。</w:t>
      </w:r>
    </w:p>
    <w:p>
      <w:pPr>
        <w:ind w:firstLine="630"/>
        <w:jc w:val="left"/>
        <w:rPr>
          <w:rFonts w:hint="eastAsia" w:ascii="仿宋" w:hAnsi="仿宋" w:eastAsia="仿宋"/>
          <w:kern w:val="0"/>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keepNext w:val="0"/>
        <w:keepLines w:val="0"/>
        <w:pageBreakBefore w:val="0"/>
        <w:widowControl w:val="0"/>
        <w:kinsoku/>
        <w:wordWrap/>
        <w:overflowPunct/>
        <w:topLinePunct w:val="0"/>
        <w:autoSpaceDE w:val="0"/>
        <w:autoSpaceDN w:val="0"/>
        <w:bidi w:val="0"/>
        <w:adjustRightInd w:val="0"/>
        <w:snapToGrid/>
        <w:spacing w:line="360" w:lineRule="auto"/>
        <w:ind w:firstLine="600" w:firstLineChars="200"/>
        <w:jc w:val="left"/>
        <w:textAlignment w:val="auto"/>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val="en-US" w:eastAsia="zh-CN"/>
        </w:rPr>
        <w:t>未开展</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（二）部门决算中项目绩效自评结果（选择1至2个项目）。</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eastAsia="宋体"/>
          <w:lang w:eastAsia="zh-CN"/>
        </w:rPr>
      </w:pPr>
      <w:r>
        <w:rPr>
          <w:rFonts w:hint="eastAsia" w:ascii="仿宋" w:hAnsi="仿宋" w:eastAsia="仿宋" w:cs="仿宋_GB2312"/>
          <w:kern w:val="0"/>
          <w:sz w:val="30"/>
          <w:szCs w:val="30"/>
          <w:lang w:val="en-US" w:eastAsia="zh-CN"/>
        </w:rPr>
        <w:t>未开展</w:t>
      </w:r>
    </w:p>
    <w:p>
      <w:pPr>
        <w:rPr>
          <w:rFonts w:hint="eastAsia"/>
        </w:rPr>
      </w:pPr>
    </w:p>
    <w:p>
      <w:pPr>
        <w:rPr>
          <w:rFonts w:hint="eastAsia"/>
        </w:rPr>
      </w:pPr>
    </w:p>
    <w:p>
      <w:pPr>
        <w:rPr>
          <w:rFonts w:hint="eastAsia"/>
        </w:rPr>
      </w:pPr>
    </w:p>
    <w:p>
      <w:pPr>
        <w:rPr>
          <w:rFonts w:hint="eastAsia"/>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仿宋" w:hAnsi="仿宋" w:eastAsia="仿宋"/>
          <w:sz w:val="30"/>
          <w:szCs w:val="30"/>
        </w:rPr>
      </w:pPr>
      <w:r>
        <w:rPr>
          <w:rFonts w:hint="eastAsia" w:ascii="宋体" w:hAnsi="宋体"/>
          <w:b/>
          <w:sz w:val="32"/>
          <w:szCs w:val="32"/>
        </w:rPr>
        <w:t>第四部分  名词解释</w:t>
      </w:r>
    </w:p>
    <w:p>
      <w:pPr>
        <w:widowControl/>
        <w:spacing w:line="580" w:lineRule="exact"/>
        <w:jc w:val="left"/>
        <w:rPr>
          <w:rFonts w:hint="eastAsia" w:ascii="仿宋" w:hAnsi="仿宋" w:eastAsia="仿宋"/>
          <w:kern w:val="0"/>
          <w:sz w:val="30"/>
          <w:szCs w:val="30"/>
        </w:rPr>
      </w:pPr>
      <w:r>
        <w:rPr>
          <w:rFonts w:hint="eastAsia" w:ascii="仿宋" w:hAnsi="仿宋" w:eastAsia="仿宋"/>
          <w:kern w:val="0"/>
          <w:sz w:val="30"/>
          <w:szCs w:val="30"/>
        </w:rPr>
        <w:t xml:space="preserve">    名词解释应以财务会计制度、政府收支分类科目以及部门预算管理等规定为基本说明，可在此基础上结合部门实际情况适当细化。“三公”经费支出和机关运行经费支出口径必需予以说明。</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kern w:val="0"/>
          <w:sz w:val="30"/>
          <w:szCs w:val="30"/>
        </w:rPr>
      </w:pPr>
      <w:r>
        <w:rPr>
          <w:rFonts w:hint="eastAsia" w:ascii="仿宋" w:hAnsi="仿宋" w:eastAsia="仿宋"/>
          <w:kern w:val="0"/>
          <w:sz w:val="30"/>
          <w:szCs w:val="30"/>
        </w:rPr>
        <w:t>（一）财政拨款：指市级财政当年拨付的资金。</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kern w:val="0"/>
          <w:sz w:val="30"/>
          <w:szCs w:val="30"/>
        </w:rPr>
      </w:pPr>
      <w:r>
        <w:rPr>
          <w:rFonts w:hint="eastAsia" w:ascii="仿宋" w:hAnsi="仿宋" w:eastAsia="仿宋"/>
          <w:kern w:val="0"/>
          <w:sz w:val="30"/>
          <w:szCs w:val="30"/>
        </w:rPr>
        <w:t>（二）事业收入：指事业单位开展专业业务活动及辅助活动取得的收入。</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kern w:val="0"/>
          <w:sz w:val="30"/>
          <w:szCs w:val="30"/>
        </w:rPr>
      </w:pPr>
      <w:r>
        <w:rPr>
          <w:rFonts w:hint="eastAsia" w:ascii="仿宋" w:hAnsi="仿宋" w:eastAsia="仿宋"/>
          <w:kern w:val="0"/>
          <w:sz w:val="30"/>
          <w:szCs w:val="30"/>
        </w:rPr>
        <w:t>（三）事业单位经营收入：指事业单位在专业业务活动及辅助活动之外开展非独立核算经营活动取得的收入。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kern w:val="0"/>
          <w:sz w:val="30"/>
          <w:szCs w:val="30"/>
        </w:rPr>
      </w:pPr>
      <w:r>
        <w:rPr>
          <w:rFonts w:hint="eastAsia" w:ascii="仿宋" w:hAnsi="仿宋" w:eastAsia="仿宋"/>
          <w:kern w:val="0"/>
          <w:sz w:val="30"/>
          <w:szCs w:val="30"/>
        </w:rPr>
        <w:t>（四）其他收入：指除财政拨款、事业收入、事业单位经营收入等以外的各项收入。</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kern w:val="0"/>
          <w:sz w:val="30"/>
          <w:szCs w:val="30"/>
        </w:rPr>
      </w:pPr>
      <w:r>
        <w:rPr>
          <w:rFonts w:hint="eastAsia" w:ascii="仿宋" w:hAnsi="仿宋" w:eastAsia="仿宋"/>
          <w:kern w:val="0"/>
          <w:sz w:val="30"/>
          <w:szCs w:val="30"/>
        </w:rPr>
        <w:t>（五）上年结转和结余：填列2017年全部结转和结余的资金数，包括当年结转结余资金和历年滚存结转结余资金。</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kern w:val="0"/>
          <w:sz w:val="30"/>
          <w:szCs w:val="30"/>
        </w:rPr>
      </w:pPr>
      <w:r>
        <w:rPr>
          <w:rFonts w:hint="eastAsia" w:ascii="仿宋" w:hAnsi="仿宋" w:eastAsia="仿宋"/>
          <w:kern w:val="0"/>
          <w:sz w:val="30"/>
          <w:szCs w:val="30"/>
        </w:rPr>
        <w:t>（六）事业运行：反映事业单位的基本支出。</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kern w:val="0"/>
          <w:sz w:val="30"/>
          <w:szCs w:val="30"/>
        </w:rPr>
      </w:pPr>
      <w:r>
        <w:rPr>
          <w:rFonts w:hint="eastAsia" w:ascii="仿宋" w:hAnsi="仿宋" w:eastAsia="仿宋"/>
          <w:kern w:val="0"/>
          <w:sz w:val="30"/>
          <w:szCs w:val="30"/>
        </w:rPr>
        <w:t>（七）培训支出：反映各部门安排的用于培训的支出。</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kern w:val="0"/>
          <w:sz w:val="30"/>
          <w:szCs w:val="30"/>
        </w:rPr>
      </w:pPr>
      <w:r>
        <w:rPr>
          <w:rFonts w:hint="eastAsia" w:ascii="仿宋" w:hAnsi="仿宋" w:eastAsia="仿宋"/>
          <w:kern w:val="0"/>
          <w:sz w:val="30"/>
          <w:szCs w:val="30"/>
        </w:rPr>
        <w:t>（八）机关事业单位基本养老保险缴费支出：反映机关事业单位实施养老保险制度由单位缴纳的基本养老保险费的支出。</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kern w:val="0"/>
          <w:sz w:val="30"/>
          <w:szCs w:val="30"/>
        </w:rPr>
      </w:pPr>
      <w:r>
        <w:rPr>
          <w:rFonts w:hint="eastAsia" w:ascii="仿宋" w:hAnsi="仿宋" w:eastAsia="仿宋"/>
          <w:kern w:val="0"/>
          <w:sz w:val="30"/>
          <w:szCs w:val="30"/>
        </w:rPr>
        <w:t>（九）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25860"/>
    <w:rsid w:val="0B9C2173"/>
    <w:rsid w:val="0F7B7CDC"/>
    <w:rsid w:val="0FD4584D"/>
    <w:rsid w:val="12151A23"/>
    <w:rsid w:val="124801C7"/>
    <w:rsid w:val="17837503"/>
    <w:rsid w:val="19B07B4B"/>
    <w:rsid w:val="1A40612E"/>
    <w:rsid w:val="1F91643C"/>
    <w:rsid w:val="202E5311"/>
    <w:rsid w:val="20343FEA"/>
    <w:rsid w:val="24420CB5"/>
    <w:rsid w:val="256B7B37"/>
    <w:rsid w:val="25C52F8F"/>
    <w:rsid w:val="27A33782"/>
    <w:rsid w:val="28B27E97"/>
    <w:rsid w:val="28D91F87"/>
    <w:rsid w:val="29713AE8"/>
    <w:rsid w:val="302F1851"/>
    <w:rsid w:val="30CA0BC2"/>
    <w:rsid w:val="352A495A"/>
    <w:rsid w:val="35AC3BF1"/>
    <w:rsid w:val="36D85CBA"/>
    <w:rsid w:val="39657B23"/>
    <w:rsid w:val="3B551C6D"/>
    <w:rsid w:val="3C2A3C7A"/>
    <w:rsid w:val="3C7B43BD"/>
    <w:rsid w:val="3D78050B"/>
    <w:rsid w:val="3F6750F3"/>
    <w:rsid w:val="4226454F"/>
    <w:rsid w:val="43E77576"/>
    <w:rsid w:val="440732ED"/>
    <w:rsid w:val="4D7A3073"/>
    <w:rsid w:val="4F9C06C7"/>
    <w:rsid w:val="55901507"/>
    <w:rsid w:val="5B224438"/>
    <w:rsid w:val="5B6F700D"/>
    <w:rsid w:val="62562610"/>
    <w:rsid w:val="64AC129F"/>
    <w:rsid w:val="65981177"/>
    <w:rsid w:val="66460736"/>
    <w:rsid w:val="66890B5F"/>
    <w:rsid w:val="674A75DC"/>
    <w:rsid w:val="69CD4B3F"/>
    <w:rsid w:val="6A4838BF"/>
    <w:rsid w:val="6C5641E0"/>
    <w:rsid w:val="6D085907"/>
    <w:rsid w:val="6D2A5E84"/>
    <w:rsid w:val="71A63240"/>
    <w:rsid w:val="73646732"/>
    <w:rsid w:val="74E7570D"/>
    <w:rsid w:val="75181602"/>
    <w:rsid w:val="7B9E49E5"/>
    <w:rsid w:val="7C0945EF"/>
    <w:rsid w:val="7CED0A02"/>
    <w:rsid w:val="7F484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ˇεˇ尐  魚</cp:lastModifiedBy>
  <dcterms:modified xsi:type="dcterms:W3CDTF">2020-10-10T07:26:57Z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