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301" w:lineRule="exact"/>
        <w:ind w:left="456" w:right="0" w:firstLine="0"/>
        <w:jc w:val="left"/>
        <w:rPr>
          <w:rFonts w:hint="eastAsia" w:ascii="楷体_GB2312" w:eastAsia="宋体"/>
          <w:b/>
          <w:sz w:val="24"/>
          <w:lang w:eastAsia="zh-CN"/>
        </w:rPr>
      </w:pPr>
      <w:r>
        <w:rPr>
          <w:rFonts w:ascii="楷体_GB2312"/>
          <w:b/>
          <w:sz w:val="24"/>
        </w:rPr>
        <w:t>1</w:t>
      </w:r>
      <w:r>
        <w:rPr>
          <w:rFonts w:hint="eastAsia" w:ascii="楷体_GB2312"/>
          <w:b/>
          <w:sz w:val="24"/>
          <w:lang w:val="en-US" w:eastAsia="zh-CN"/>
        </w:rPr>
        <w:t>3</w:t>
      </w:r>
    </w:p>
    <w:p>
      <w:pPr>
        <w:pStyle w:val="2"/>
        <w:ind w:right="1189"/>
      </w:pPr>
      <w:r>
        <w:t>2019年</w:t>
      </w:r>
      <w:r>
        <w:rPr>
          <w:rFonts w:hint="eastAsia"/>
          <w:lang w:val="en-US" w:eastAsia="zh-CN"/>
        </w:rPr>
        <w:t>高新区</w:t>
      </w:r>
      <w:r>
        <w:t>政府性基金转移支付决算表</w:t>
      </w:r>
      <w:bookmarkStart w:id="0" w:name="_GoBack"/>
      <w:bookmarkEnd w:id="0"/>
    </w:p>
    <w:p>
      <w:pPr>
        <w:pStyle w:val="2"/>
        <w:spacing w:line="453" w:lineRule="exact"/>
      </w:pPr>
      <w:r>
        <w:t>（分项目）</w:t>
      </w:r>
    </w:p>
    <w:p>
      <w:pPr>
        <w:spacing w:before="38" w:after="12"/>
        <w:ind w:left="0" w:right="468" w:firstLine="0"/>
        <w:jc w:val="righ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单位：万元</w:t>
      </w:r>
    </w:p>
    <w:tbl>
      <w:tblPr>
        <w:tblStyle w:val="3"/>
        <w:tblW w:w="0" w:type="auto"/>
        <w:tblInd w:w="40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1"/>
        <w:gridCol w:w="16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6001" w:type="dxa"/>
          </w:tcPr>
          <w:p>
            <w:pPr>
              <w:pStyle w:val="7"/>
              <w:spacing w:before="58"/>
              <w:ind w:left="2732" w:right="2727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</w:p>
        </w:tc>
        <w:tc>
          <w:tcPr>
            <w:tcW w:w="1695" w:type="dxa"/>
          </w:tcPr>
          <w:p>
            <w:pPr>
              <w:pStyle w:val="7"/>
              <w:spacing w:before="58"/>
              <w:ind w:right="92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2019年决算数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6001" w:type="dxa"/>
          </w:tcPr>
          <w:p>
            <w:pPr>
              <w:pStyle w:val="7"/>
              <w:spacing w:before="108"/>
              <w:ind w:left="2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一、国家电影事业发展专项资金安排的支出</w:t>
            </w:r>
          </w:p>
        </w:tc>
        <w:tc>
          <w:tcPr>
            <w:tcW w:w="1695" w:type="dxa"/>
          </w:tcPr>
          <w:p>
            <w:pPr>
              <w:pStyle w:val="7"/>
              <w:spacing w:before="78"/>
              <w:ind w:right="91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001" w:type="dxa"/>
          </w:tcPr>
          <w:p>
            <w:pPr>
              <w:pStyle w:val="7"/>
              <w:spacing w:before="76"/>
              <w:ind w:left="2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二、旅游发展基金支出</w:t>
            </w:r>
          </w:p>
        </w:tc>
        <w:tc>
          <w:tcPr>
            <w:tcW w:w="1695" w:type="dxa"/>
          </w:tcPr>
          <w:p>
            <w:pPr>
              <w:pStyle w:val="7"/>
              <w:ind w:right="91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001" w:type="dxa"/>
          </w:tcPr>
          <w:p>
            <w:pPr>
              <w:pStyle w:val="7"/>
              <w:spacing w:before="76"/>
              <w:ind w:left="2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三、大中型水库移民后期扶持基金支出</w:t>
            </w:r>
          </w:p>
        </w:tc>
        <w:tc>
          <w:tcPr>
            <w:tcW w:w="1695" w:type="dxa"/>
          </w:tcPr>
          <w:p>
            <w:pPr>
              <w:pStyle w:val="7"/>
              <w:ind w:right="91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001" w:type="dxa"/>
          </w:tcPr>
          <w:p>
            <w:pPr>
              <w:pStyle w:val="7"/>
              <w:spacing w:before="76"/>
              <w:ind w:left="2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四、小型水库移民扶助基金安排的支出</w:t>
            </w:r>
          </w:p>
        </w:tc>
        <w:tc>
          <w:tcPr>
            <w:tcW w:w="1695" w:type="dxa"/>
          </w:tcPr>
          <w:p>
            <w:pPr>
              <w:pStyle w:val="7"/>
              <w:ind w:right="91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001" w:type="dxa"/>
          </w:tcPr>
          <w:p>
            <w:pPr>
              <w:pStyle w:val="7"/>
              <w:spacing w:before="76"/>
              <w:ind w:left="2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五、城市基础设施配套费安排的支出</w:t>
            </w:r>
          </w:p>
        </w:tc>
        <w:tc>
          <w:tcPr>
            <w:tcW w:w="1695" w:type="dxa"/>
          </w:tcPr>
          <w:p>
            <w:pPr>
              <w:pStyle w:val="7"/>
              <w:ind w:right="91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001" w:type="dxa"/>
          </w:tcPr>
          <w:p>
            <w:pPr>
              <w:pStyle w:val="7"/>
              <w:spacing w:before="76"/>
              <w:ind w:left="2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六、国家重大水利工程建设基金安排的支出</w:t>
            </w:r>
          </w:p>
        </w:tc>
        <w:tc>
          <w:tcPr>
            <w:tcW w:w="1695" w:type="dxa"/>
          </w:tcPr>
          <w:p>
            <w:pPr>
              <w:pStyle w:val="7"/>
              <w:ind w:right="91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001" w:type="dxa"/>
          </w:tcPr>
          <w:p>
            <w:pPr>
              <w:pStyle w:val="7"/>
              <w:spacing w:before="76"/>
              <w:ind w:left="2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七、民航发展基金支出</w:t>
            </w:r>
          </w:p>
        </w:tc>
        <w:tc>
          <w:tcPr>
            <w:tcW w:w="1695" w:type="dxa"/>
          </w:tcPr>
          <w:p>
            <w:pPr>
              <w:pStyle w:val="7"/>
              <w:ind w:right="91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001" w:type="dxa"/>
          </w:tcPr>
          <w:p>
            <w:pPr>
              <w:pStyle w:val="7"/>
              <w:spacing w:before="76"/>
              <w:ind w:left="2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八、彩票公益金安排的支出</w:t>
            </w:r>
          </w:p>
        </w:tc>
        <w:tc>
          <w:tcPr>
            <w:tcW w:w="1695" w:type="dxa"/>
          </w:tcPr>
          <w:p>
            <w:pPr>
              <w:pStyle w:val="7"/>
              <w:ind w:right="91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001" w:type="dxa"/>
          </w:tcPr>
          <w:p>
            <w:pPr>
              <w:pStyle w:val="7"/>
              <w:ind w:left="31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对地方政府性基金转移支付合计</w:t>
            </w:r>
          </w:p>
        </w:tc>
        <w:tc>
          <w:tcPr>
            <w:tcW w:w="1695" w:type="dxa"/>
          </w:tcPr>
          <w:p>
            <w:pPr>
              <w:pStyle w:val="7"/>
              <w:ind w:right="91"/>
              <w:rPr>
                <w:rFonts w:hint="eastAsia" w:ascii="仿宋_GB2312" w:eastAsia="宋体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lang w:val="en-US" w:eastAsia="zh-CN"/>
              </w:rPr>
              <w:t>0</w:t>
            </w:r>
          </w:p>
        </w:tc>
      </w:tr>
    </w:tbl>
    <w:p/>
    <w:sectPr>
      <w:type w:val="continuous"/>
      <w:pgSz w:w="11910" w:h="16840"/>
      <w:pgMar w:top="13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74174"/>
    <w:rsid w:val="32561143"/>
    <w:rsid w:val="47871EAA"/>
    <w:rsid w:val="69843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439" w:lineRule="exact"/>
      <w:ind w:left="1174" w:right="1186"/>
      <w:jc w:val="center"/>
    </w:pPr>
    <w:rPr>
      <w:rFonts w:ascii="宋体" w:hAnsi="宋体" w:eastAsia="宋体" w:cs="宋体"/>
      <w:b/>
      <w:bCs/>
      <w:sz w:val="36"/>
      <w:szCs w:val="3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46"/>
      <w:ind w:left="96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2020-09-23T17:29:00Z</dcterms:created>
  <dc:creator>温奇峰</dc:creator>
  <cp:lastModifiedBy>Wen超</cp:lastModifiedBy>
  <cp:lastPrinted>2020-10-22T04:09:14Z</cp:lastPrinted>
  <dcterms:modified xsi:type="dcterms:W3CDTF">2020-10-22T04:09:50Z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