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168" w:right="0" w:firstLine="0"/>
        <w:jc w:val="left"/>
        <w:rPr>
          <w:rFonts w:hint="eastAsia" w:eastAsia="宋体"/>
          <w:sz w:val="24"/>
          <w:lang w:eastAsia="zh-CN"/>
        </w:rPr>
      </w:pP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2</w:t>
      </w:r>
    </w:p>
    <w:p>
      <w:pPr>
        <w:pStyle w:val="2"/>
        <w:spacing w:before="154"/>
        <w:ind w:left="960" w:firstLine="611" w:firstLineChars="200"/>
      </w:pPr>
      <w:r>
        <w:rPr>
          <w:w w:val="95"/>
        </w:rPr>
        <w:t>二○一九年</w:t>
      </w:r>
      <w:r>
        <w:rPr>
          <w:rFonts w:hint="eastAsia"/>
          <w:w w:val="95"/>
          <w:lang w:val="en-US" w:eastAsia="zh-CN"/>
        </w:rPr>
        <w:t>高新区</w:t>
      </w:r>
      <w:r>
        <w:rPr>
          <w:w w:val="95"/>
        </w:rPr>
        <w:t>政府性基金预算支出决算表</w:t>
      </w:r>
    </w:p>
    <w:p>
      <w:pPr>
        <w:spacing w:before="11" w:line="240" w:lineRule="auto"/>
        <w:rPr>
          <w:b/>
          <w:sz w:val="16"/>
        </w:rPr>
      </w:pPr>
    </w:p>
    <w:p>
      <w:pPr>
        <w:spacing w:before="45"/>
        <w:ind w:left="0" w:right="453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spacing w:before="0" w:line="240" w:lineRule="auto"/>
        <w:rPr>
          <w:sz w:val="5"/>
        </w:rPr>
      </w:pPr>
    </w:p>
    <w:tbl>
      <w:tblPr>
        <w:tblStyle w:val="3"/>
        <w:tblW w:w="0" w:type="auto"/>
        <w:tblInd w:w="1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7"/>
        <w:gridCol w:w="1140"/>
        <w:gridCol w:w="1080"/>
        <w:gridCol w:w="1081"/>
        <w:gridCol w:w="12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exact"/>
        </w:trPr>
        <w:tc>
          <w:tcPr>
            <w:tcW w:w="4487" w:type="dxa"/>
          </w:tcPr>
          <w:p>
            <w:pPr>
              <w:pStyle w:val="7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7"/>
              <w:tabs>
                <w:tab w:val="left" w:pos="1433"/>
                <w:tab w:val="left" w:pos="2840"/>
                <w:tab w:val="left" w:pos="4244"/>
              </w:tabs>
              <w:spacing w:before="138"/>
              <w:ind w:left="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算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科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目</w:t>
            </w:r>
          </w:p>
        </w:tc>
        <w:tc>
          <w:tcPr>
            <w:tcW w:w="1140" w:type="dxa"/>
          </w:tcPr>
          <w:p>
            <w:pPr>
              <w:pStyle w:val="7"/>
              <w:spacing w:before="2"/>
              <w:ind w:right="0"/>
              <w:jc w:val="left"/>
              <w:rPr>
                <w:sz w:val="21"/>
              </w:rPr>
            </w:pPr>
          </w:p>
          <w:p>
            <w:pPr>
              <w:pStyle w:val="7"/>
              <w:spacing w:before="1" w:line="254" w:lineRule="exact"/>
              <w:ind w:left="254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25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预算数</w:t>
            </w:r>
          </w:p>
        </w:tc>
        <w:tc>
          <w:tcPr>
            <w:tcW w:w="1080" w:type="dxa"/>
          </w:tcPr>
          <w:p>
            <w:pPr>
              <w:pStyle w:val="7"/>
              <w:spacing w:before="2"/>
              <w:ind w:right="0"/>
              <w:jc w:val="left"/>
              <w:rPr>
                <w:sz w:val="21"/>
              </w:rPr>
            </w:pPr>
          </w:p>
          <w:p>
            <w:pPr>
              <w:pStyle w:val="7"/>
              <w:spacing w:before="1" w:line="254" w:lineRule="exact"/>
              <w:ind w:left="225" w:right="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before="0" w:line="254" w:lineRule="exact"/>
              <w:ind w:left="23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</w:t>
            </w:r>
          </w:p>
        </w:tc>
        <w:tc>
          <w:tcPr>
            <w:tcW w:w="1081" w:type="dxa"/>
          </w:tcPr>
          <w:p>
            <w:pPr>
              <w:pStyle w:val="7"/>
              <w:spacing w:before="11"/>
              <w:ind w:right="0"/>
              <w:jc w:val="left"/>
              <w:rPr>
                <w:sz w:val="23"/>
              </w:rPr>
            </w:pPr>
          </w:p>
          <w:p>
            <w:pPr>
              <w:pStyle w:val="7"/>
              <w:spacing w:before="1" w:line="248" w:lineRule="exact"/>
              <w:ind w:left="180" w:right="9" w:hanging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决算数为预算数的%</w:t>
            </w:r>
          </w:p>
        </w:tc>
        <w:tc>
          <w:tcPr>
            <w:tcW w:w="1260" w:type="dxa"/>
          </w:tcPr>
          <w:p>
            <w:pPr>
              <w:pStyle w:val="7"/>
              <w:spacing w:before="11"/>
              <w:ind w:right="0"/>
              <w:jc w:val="left"/>
              <w:rPr>
                <w:sz w:val="23"/>
              </w:rPr>
            </w:pPr>
          </w:p>
          <w:p>
            <w:pPr>
              <w:pStyle w:val="7"/>
              <w:spacing w:before="1" w:line="248" w:lineRule="exact"/>
              <w:ind w:left="268" w:right="100" w:hanging="1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比上年决算数增减%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4487" w:type="dxa"/>
          </w:tcPr>
          <w:p>
            <w:pPr>
              <w:pStyle w:val="7"/>
              <w:spacing w:before="50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文化旅游体育与传媒支出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国家电影事业发展专项资金安排的支出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4487" w:type="dxa"/>
          </w:tcPr>
          <w:p>
            <w:pPr>
              <w:pStyle w:val="7"/>
              <w:spacing w:before="81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社会保障和就业支出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大中型水库移民后期扶持基金支出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小型水库移民扶助基金安排的支出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</w:pPr>
          </w:p>
        </w:tc>
        <w:tc>
          <w:tcPr>
            <w:tcW w:w="1080" w:type="dxa"/>
            <w:vAlign w:val="center"/>
          </w:tcPr>
          <w:p>
            <w:pPr>
              <w:jc w:val="right"/>
            </w:pPr>
          </w:p>
        </w:tc>
        <w:tc>
          <w:tcPr>
            <w:tcW w:w="1081" w:type="dxa"/>
            <w:vAlign w:val="center"/>
          </w:tcPr>
          <w:p>
            <w:pPr>
              <w:jc w:val="right"/>
            </w:pPr>
          </w:p>
        </w:tc>
        <w:tc>
          <w:tcPr>
            <w:tcW w:w="126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城乡社区支出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10370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15883 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153.16%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668.78%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spacing w:before="70"/>
              <w:ind w:right="75"/>
              <w:rPr>
                <w:sz w:val="16"/>
              </w:rPr>
            </w:pPr>
            <w:r>
              <w:rPr>
                <w:w w:val="95"/>
                <w:sz w:val="16"/>
              </w:rPr>
              <w:t>国有土地使用权出让收入及对应专项债务收入安排的支出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10200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3774 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37.00%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right="0" w:firstLine="608" w:firstLineChars="400"/>
              <w:jc w:val="left"/>
              <w:rPr>
                <w:w w:val="95"/>
                <w:sz w:val="20"/>
              </w:rPr>
            </w:pPr>
            <w:r>
              <w:rPr>
                <w:rFonts w:hint="eastAsia"/>
                <w:w w:val="95"/>
                <w:sz w:val="16"/>
                <w:szCs w:val="16"/>
              </w:rPr>
              <w:t>国有土地收益基金及对应专项债务收入安排的支出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64.12%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109.62%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 w:firstLine="380" w:firstLineChars="200"/>
              <w:jc w:val="left"/>
              <w:rPr>
                <w:w w:val="95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棚户区改造专项债券收入安排的支出</w:t>
            </w:r>
            <w:bookmarkStart w:id="0" w:name="_GoBack"/>
            <w:bookmarkEnd w:id="0"/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 </w:t>
            </w: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城市基础设施配套费安排的支出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4487" w:type="dxa"/>
          </w:tcPr>
          <w:p>
            <w:pPr>
              <w:pStyle w:val="7"/>
              <w:spacing w:before="50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农林水支出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</w:pPr>
          </w:p>
        </w:tc>
        <w:tc>
          <w:tcPr>
            <w:tcW w:w="1080" w:type="dxa"/>
            <w:vAlign w:val="center"/>
          </w:tcPr>
          <w:p>
            <w:pPr>
              <w:jc w:val="right"/>
            </w:pPr>
          </w:p>
        </w:tc>
        <w:tc>
          <w:tcPr>
            <w:tcW w:w="1081" w:type="dxa"/>
            <w:vAlign w:val="center"/>
          </w:tcPr>
          <w:p>
            <w:pPr>
              <w:jc w:val="right"/>
            </w:pPr>
          </w:p>
        </w:tc>
        <w:tc>
          <w:tcPr>
            <w:tcW w:w="126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4487" w:type="dxa"/>
          </w:tcPr>
          <w:p>
            <w:pPr>
              <w:pStyle w:val="7"/>
              <w:spacing w:before="33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大中型水库库区基金安排的支出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</w:pPr>
          </w:p>
        </w:tc>
        <w:tc>
          <w:tcPr>
            <w:tcW w:w="1080" w:type="dxa"/>
            <w:vAlign w:val="center"/>
          </w:tcPr>
          <w:p>
            <w:pPr>
              <w:jc w:val="right"/>
            </w:pPr>
          </w:p>
        </w:tc>
        <w:tc>
          <w:tcPr>
            <w:tcW w:w="1081" w:type="dxa"/>
            <w:vAlign w:val="center"/>
          </w:tcPr>
          <w:p>
            <w:pPr>
              <w:jc w:val="right"/>
            </w:pPr>
          </w:p>
        </w:tc>
        <w:tc>
          <w:tcPr>
            <w:tcW w:w="126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交通运输支出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车辆通行费安排的支出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港口建设费安排的支出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民航发展基金支出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政府收费公路专项债券收入安排的支出</w:t>
            </w:r>
          </w:p>
        </w:tc>
        <w:tc>
          <w:tcPr>
            <w:tcW w:w="1140" w:type="dxa"/>
            <w:vAlign w:val="center"/>
          </w:tcPr>
          <w:p>
            <w:pPr>
              <w:jc w:val="right"/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</w:pPr>
          </w:p>
        </w:tc>
        <w:tc>
          <w:tcPr>
            <w:tcW w:w="126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其他支出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4487" w:type="dxa"/>
          </w:tcPr>
          <w:p>
            <w:pPr>
              <w:pStyle w:val="7"/>
              <w:spacing w:before="5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其他政府性基金及对应专项债务收入安排的支出</w:t>
            </w:r>
          </w:p>
        </w:tc>
        <w:tc>
          <w:tcPr>
            <w:tcW w:w="1140" w:type="dxa"/>
            <w:vAlign w:val="bottom"/>
          </w:tcPr>
          <w:p/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</w:pPr>
          </w:p>
        </w:tc>
        <w:tc>
          <w:tcPr>
            <w:tcW w:w="1260" w:type="dxa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彩票发行销售机构业务费安排的支出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27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彩票公益金安排的支出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right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right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债务付息支出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 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248.78%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487" w:type="dxa"/>
          </w:tcPr>
          <w:p>
            <w:pPr>
              <w:pStyle w:val="7"/>
              <w:ind w:left="26" w:right="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债务发行费用支出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63.64%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27.27%</w:t>
            </w:r>
          </w:p>
        </w:tc>
      </w:tr>
    </w:tbl>
    <w:p/>
    <w:sectPr>
      <w:type w:val="continuous"/>
      <w:pgSz w:w="11910" w:h="16840"/>
      <w:pgMar w:top="700" w:right="1280" w:bottom="280" w:left="13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E7E18"/>
    <w:rsid w:val="3CAC611A"/>
    <w:rsid w:val="4DFC0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49"/>
      <w:ind w:right="125"/>
      <w:jc w:val="righ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2020-09-23T17:28:00Z</dcterms:created>
  <dc:creator>温奇峰</dc:creator>
  <cp:lastModifiedBy>Wen超</cp:lastModifiedBy>
  <cp:lastPrinted>2020-10-22T04:08:59Z</cp:lastPrinted>
  <dcterms:modified xsi:type="dcterms:W3CDTF">2020-10-22T04:09:01Z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