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3" w:lineRule="exact"/>
        <w:ind w:left="180" w:right="0" w:firstLine="0"/>
        <w:jc w:val="left"/>
        <w:rPr>
          <w:rFonts w:hint="eastAsia" w:ascii="楷体_GB2312" w:eastAsia="仿宋_GB2312"/>
          <w:b/>
          <w:sz w:val="32"/>
          <w:lang w:eastAsia="zh-CN"/>
        </w:rPr>
      </w:pPr>
      <w:r>
        <w:rPr>
          <w:rFonts w:ascii="楷体_GB2312"/>
          <w:b/>
          <w:sz w:val="32"/>
        </w:rPr>
        <w:t>0</w:t>
      </w:r>
      <w:r>
        <w:rPr>
          <w:rFonts w:hint="eastAsia" w:ascii="楷体_GB2312"/>
          <w:b/>
          <w:sz w:val="32"/>
          <w:lang w:val="en-US" w:eastAsia="zh-CN"/>
        </w:rPr>
        <w:t>6</w:t>
      </w:r>
    </w:p>
    <w:p>
      <w:pPr>
        <w:pStyle w:val="2"/>
        <w:ind w:right="1618"/>
      </w:pPr>
      <w:r>
        <w:t>2019年省级一般公共预算转移支付决算表</w:t>
      </w:r>
    </w:p>
    <w:p>
      <w:pPr>
        <w:pStyle w:val="2"/>
        <w:spacing w:line="453" w:lineRule="exact"/>
      </w:pPr>
      <w:r>
        <w:t>（分项目）</w:t>
      </w:r>
    </w:p>
    <w:p>
      <w:pPr>
        <w:spacing w:before="28" w:after="12"/>
        <w:ind w:left="0" w:right="600" w:firstLine="0"/>
        <w:jc w:val="right"/>
        <w:rPr>
          <w:sz w:val="22"/>
        </w:rPr>
      </w:pPr>
      <w:r>
        <w:rPr>
          <w:sz w:val="22"/>
        </w:rPr>
        <w:t>单位：万元</w:t>
      </w:r>
    </w:p>
    <w:tbl>
      <w:tblPr>
        <w:tblStyle w:val="3"/>
        <w:tblW w:w="0" w:type="auto"/>
        <w:tblInd w:w="1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6"/>
        <w:gridCol w:w="20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7456" w:type="dxa"/>
          </w:tcPr>
          <w:p>
            <w:pPr>
              <w:pStyle w:val="7"/>
              <w:spacing w:before="144"/>
              <w:ind w:left="2494" w:right="2489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2071" w:type="dxa"/>
            <w:tcBorders>
              <w:right w:val="single" w:color="000000" w:sz="8" w:space="0"/>
            </w:tcBorders>
          </w:tcPr>
          <w:p>
            <w:pPr>
              <w:pStyle w:val="7"/>
              <w:spacing w:before="144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2019年决算数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一般性转移支付决算数：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（1）体制补助收入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（2）均衡性转移支付收入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（3）县级基本财力保障机制奖补资金收入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（4）结算补助收入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11,032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7456" w:type="dxa"/>
          </w:tcPr>
          <w:p>
            <w:pPr>
              <w:pStyle w:val="7"/>
              <w:spacing w:before="121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（5）资源枯竭型城市转移支付补助收入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（6）产粮（油）大县奖励资金收入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（7）重点生态功能区转移支付收入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（8）固定数额补助收入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（9）革命老区转移支付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7456" w:type="dxa"/>
          </w:tcPr>
          <w:p>
            <w:pPr>
              <w:pStyle w:val="7"/>
              <w:spacing w:before="121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（10）贫困地区转移支付收入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（11）公共安全共同财政事权转移支付收入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（12）教育共同财政事权转移支付收入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（13）科学技术共同财政事权转移支付收入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（14）文化旅游体育与传媒共同财政事权转移支付收入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（15）社会保障和就业共同财政事权转移支付收入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（16）卫生健康共同财政事权转移支付收入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（17）节能环保共同财政事权转移支付收入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（18）农林水共同财政事权转移支付收入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after="0"/>
        <w:rPr>
          <w:rFonts w:ascii="宋体"/>
          <w:sz w:val="24"/>
        </w:rPr>
        <w:sectPr>
          <w:type w:val="continuous"/>
          <w:pgSz w:w="11910" w:h="16840"/>
          <w:pgMar w:top="1400" w:right="1160" w:bottom="280" w:left="960" w:header="720" w:footer="720" w:gutter="0"/>
        </w:sectPr>
      </w:pPr>
    </w:p>
    <w:tbl>
      <w:tblPr>
        <w:tblStyle w:val="3"/>
        <w:tblW w:w="0" w:type="auto"/>
        <w:tblInd w:w="1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6"/>
        <w:gridCol w:w="20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7456" w:type="dxa"/>
          </w:tcPr>
          <w:p>
            <w:pPr>
              <w:pStyle w:val="7"/>
              <w:spacing w:before="144"/>
              <w:ind w:left="2494" w:right="2489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2071" w:type="dxa"/>
            <w:tcBorders>
              <w:right w:val="single" w:color="000000" w:sz="8" w:space="0"/>
            </w:tcBorders>
          </w:tcPr>
          <w:p>
            <w:pPr>
              <w:pStyle w:val="7"/>
              <w:spacing w:before="144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2019年决算数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（19）交通运输共同财政事权转移支付收入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（20）住房保障共同财政事权转移支付收入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7456" w:type="dxa"/>
          </w:tcPr>
          <w:p>
            <w:pPr>
              <w:pStyle w:val="7"/>
              <w:spacing w:before="121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（21）其他共同财政事权转移支付支出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sz w:val="24"/>
              </w:rPr>
            </w:pPr>
            <w:r>
              <w:rPr>
                <w:sz w:val="24"/>
              </w:rPr>
              <w:t>（22）其他一般性转移支付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专项转移支付决算数：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一般公共服务支出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</w:tcPr>
          <w:p>
            <w:pPr>
              <w:pStyle w:val="7"/>
              <w:ind w:left="3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公共安全支出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教育支出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科学技术支出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文化旅游体育与传媒支出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社会保障和就业支出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医疗卫生与计划生育支出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节能环保支出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城乡社区支出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农林水支出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交通运输支出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资源勘探信息等支出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商业服务业等支出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金融支出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自然资源海洋气象等支出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spacing w:before="121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住房保障支出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spacing w:before="125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粮油物资储备支出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spacing w:before="125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灾害防治及应急管理支出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456" w:type="dxa"/>
            <w:vAlign w:val="top"/>
          </w:tcPr>
          <w:p>
            <w:pPr>
              <w:pStyle w:val="7"/>
              <w:spacing w:before="125"/>
              <w:ind w:left="31" w:leftChars="0" w:right="0" w:right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其他支出</w:t>
            </w:r>
          </w:p>
        </w:tc>
        <w:tc>
          <w:tcPr>
            <w:tcW w:w="2071" w:type="dxa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after="0"/>
        <w:rPr>
          <w:rFonts w:ascii="宋体"/>
          <w:sz w:val="24"/>
        </w:rPr>
        <w:sectPr>
          <w:pgSz w:w="11910" w:h="16840"/>
          <w:pgMar w:top="1400" w:right="1160" w:bottom="280" w:left="960" w:header="720" w:footer="720" w:gutter="0"/>
        </w:sectPr>
      </w:pPr>
      <w:bookmarkStart w:id="0" w:name="_GoBack"/>
      <w:bookmarkEnd w:id="0"/>
    </w:p>
    <w:p/>
    <w:sectPr>
      <w:pgSz w:w="11910" w:h="16840"/>
      <w:pgMar w:top="1400" w:right="116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F69DB"/>
    <w:rsid w:val="16D500E1"/>
    <w:rsid w:val="33300408"/>
    <w:rsid w:val="63165996"/>
    <w:rsid w:val="76752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446" w:lineRule="exact"/>
      <w:ind w:left="1622" w:right="1615"/>
      <w:jc w:val="center"/>
    </w:pPr>
    <w:rPr>
      <w:rFonts w:ascii="宋体" w:hAnsi="宋体" w:eastAsia="宋体" w:cs="宋体"/>
      <w:b/>
      <w:bCs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20"/>
      <w:ind w:left="179" w:right="281"/>
      <w:jc w:val="center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2020-09-23T17:22:00Z</dcterms:created>
  <dc:creator>温奇峰</dc:creator>
  <cp:lastModifiedBy>Wen超</cp:lastModifiedBy>
  <cp:lastPrinted>2020-10-22T04:06:12Z</cp:lastPrinted>
  <dcterms:modified xsi:type="dcterms:W3CDTF">2020-10-22T04:07:11Z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