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29"/>
        </w:rPr>
      </w:pPr>
    </w:p>
    <w:tbl>
      <w:tblPr>
        <w:tblStyle w:val="3"/>
        <w:tblW w:w="0" w:type="auto"/>
        <w:tblInd w:w="1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6"/>
        <w:gridCol w:w="1824"/>
        <w:gridCol w:w="1825"/>
        <w:gridCol w:w="18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7" w:type="dxa"/>
          <w:trHeight w:val="304" w:hRule="exact"/>
        </w:trPr>
        <w:tc>
          <w:tcPr>
            <w:tcW w:w="4036" w:type="dxa"/>
            <w:tcBorders>
              <w:bottom w:val="single" w:color="000000" w:sz="0" w:space="0"/>
              <w:right w:val="single" w:color="000000" w:sz="0" w:space="0"/>
            </w:tcBorders>
          </w:tcPr>
          <w:p>
            <w:pPr>
              <w:pStyle w:val="7"/>
              <w:spacing w:before="0" w:line="281" w:lineRule="exact"/>
              <w:ind w:left="2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05</w:t>
            </w:r>
          </w:p>
        </w:tc>
        <w:tc>
          <w:tcPr>
            <w:tcW w:w="182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182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/>
        </w:tc>
        <w:tc>
          <w:tcPr>
            <w:tcW w:w="1823" w:type="dxa"/>
            <w:tcBorders>
              <w:left w:val="single" w:color="000000" w:sz="0" w:space="0"/>
              <w:bottom w:val="single" w:color="000000" w:sz="0" w:space="0"/>
            </w:tcBorders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7" w:type="dxa"/>
          <w:trHeight w:val="835" w:hRule="exact"/>
        </w:trPr>
        <w:tc>
          <w:tcPr>
            <w:tcW w:w="9508" w:type="dxa"/>
            <w:gridSpan w:val="4"/>
            <w:tcBorders>
              <w:top w:val="single" w:color="000000" w:sz="0" w:space="0"/>
            </w:tcBorders>
          </w:tcPr>
          <w:p>
            <w:pPr>
              <w:pStyle w:val="7"/>
              <w:spacing w:before="152"/>
              <w:ind w:left="2155" w:firstLine="341" w:firstLineChars="100"/>
              <w:jc w:val="both"/>
              <w:rPr>
                <w:b/>
                <w:sz w:val="34"/>
              </w:rPr>
            </w:pPr>
            <w:bookmarkStart w:id="0" w:name="_GoBack"/>
            <w:bookmarkEnd w:id="0"/>
            <w:r>
              <w:rPr>
                <w:b/>
                <w:sz w:val="34"/>
              </w:rPr>
              <w:t>2019年</w:t>
            </w:r>
            <w:r>
              <w:rPr>
                <w:rFonts w:hint="eastAsia"/>
                <w:b/>
                <w:sz w:val="34"/>
                <w:lang w:val="en-US" w:eastAsia="zh-CN"/>
              </w:rPr>
              <w:t>高新区</w:t>
            </w:r>
            <w:r>
              <w:rPr>
                <w:b/>
                <w:sz w:val="34"/>
              </w:rPr>
              <w:t>基本支出决算表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7" w:type="dxa"/>
          <w:trHeight w:val="328" w:hRule="exact"/>
        </w:trPr>
        <w:tc>
          <w:tcPr>
            <w:tcW w:w="4036" w:type="dxa"/>
            <w:tcBorders>
              <w:top w:val="single" w:color="000000" w:sz="0" w:space="0"/>
              <w:right w:val="single" w:color="000000" w:sz="0" w:space="0"/>
            </w:tcBorders>
          </w:tcPr>
          <w:p/>
        </w:tc>
        <w:tc>
          <w:tcPr>
            <w:tcW w:w="1824" w:type="dxa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</w:tcPr>
          <w:p/>
        </w:tc>
        <w:tc>
          <w:tcPr>
            <w:tcW w:w="1825" w:type="dxa"/>
            <w:tcBorders>
              <w:top w:val="single" w:color="000000" w:sz="0" w:space="0"/>
              <w:left w:val="single" w:color="000000" w:sz="0" w:space="0"/>
            </w:tcBorders>
          </w:tcPr>
          <w:p/>
        </w:tc>
        <w:tc>
          <w:tcPr>
            <w:tcW w:w="1823" w:type="dxa"/>
          </w:tcPr>
          <w:p>
            <w:pPr>
              <w:pStyle w:val="7"/>
              <w:spacing w:before="12"/>
              <w:ind w:right="21"/>
              <w:rPr>
                <w:sz w:val="19"/>
              </w:rPr>
            </w:pPr>
            <w:r>
              <w:rPr>
                <w:w w:val="95"/>
                <w:sz w:val="19"/>
              </w:rPr>
              <w:t>单位：万元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7" w:type="dxa"/>
          <w:trHeight w:val="1022" w:hRule="exact"/>
        </w:trPr>
        <w:tc>
          <w:tcPr>
            <w:tcW w:w="4036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4"/>
              <w:ind w:left="1607" w:right="160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科目名称</w:t>
            </w:r>
          </w:p>
        </w:tc>
        <w:tc>
          <w:tcPr>
            <w:tcW w:w="1824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4"/>
              <w:ind w:left="598" w:right="59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预算数</w:t>
            </w:r>
          </w:p>
        </w:tc>
        <w:tc>
          <w:tcPr>
            <w:tcW w:w="1825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4"/>
              <w:ind w:left="598" w:right="59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决算数</w:t>
            </w:r>
          </w:p>
        </w:tc>
        <w:tc>
          <w:tcPr>
            <w:tcW w:w="1823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4"/>
              <w:ind w:left="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决算数为预算数的%</w:t>
            </w:r>
          </w:p>
        </w:tc>
      </w:tr>
    </w:tbl>
    <w:tbl>
      <w:tblPr>
        <w:tblW w:w="0" w:type="auto"/>
        <w:tblInd w:w="13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5"/>
        <w:gridCol w:w="1830"/>
        <w:gridCol w:w="181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机关工资福利支出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4202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3,487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82.98%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工资奖金津补贴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3197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2,648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82.83%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社会保障缴费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61.55%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住房公积金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498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115.01%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其他工资福利支出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机关商品和服务支出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3359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6,042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179.87%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办公经费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2,813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480.85%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会议费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805.26%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培训费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4.67%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专用材料购置费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81.82%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委托业务费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2071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1,933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93.34%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32.00%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因公出国(境)费用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4.40%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公务用车运行维护费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22.95%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维修(护)费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220.00%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其他商品和服务支出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235.51%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机关资本性支出(一)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27115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27,510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房屋建筑物购建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基础设施建设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27,500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公务用车购置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土地征迁补偿和安置支出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设备购置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10.99%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大型修缮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其他资本性支出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对事业单位经常性补助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1,224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2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工资福利支出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886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商品和服务支出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338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其他对事业单位补助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对事业单位资本性补助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资本性支出(一)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对企业补助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费用补贴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利息补贴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 xml:space="preserve">  其他对企业补助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对个人和家庭的补助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169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120.71%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社会福利和救助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148.39%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助学金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个人农业生产补贴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离退休费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其他对个人和家庭补助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113.13%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其他支出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赠与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国家赔偿费用支出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对民间非营利组织和群众性自治组织补贴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其他支出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0" w:hRule="atLeast"/>
        </w:trPr>
        <w:tc>
          <w:tcPr>
            <w:tcW w:w="4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区级基本支出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34,859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38,707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111.04%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500" w:right="1180" w:bottom="500" w:left="980" w:header="292" w:footer="3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302144" behindDoc="1" locked="0" layoutInCell="1" allowOverlap="1">
              <wp:simplePos x="0" y="0"/>
              <wp:positionH relativeFrom="page">
                <wp:posOffset>3541395</wp:posOffset>
              </wp:positionH>
              <wp:positionV relativeFrom="page">
                <wp:posOffset>10356850</wp:posOffset>
              </wp:positionV>
              <wp:extent cx="476250" cy="1701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48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8.85pt;margin-top:815.5pt;height:13.4pt;width:37.5pt;mso-position-horizontal-relative:page;mso-position-vertical-relative:page;z-index:-14336;mso-width-relative:page;mso-height-relative:page;" filled="f" stroked="f" coordsize="21600,21600" o:gfxdata="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vquum2gAAAA0BAAAPAAAAAAAA&#10;AAEAIAAAACIAAABkcnMvZG93bnJldi54bWxQSwECFAAUAAAACACHTuJAT+gyY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48" w:lineRule="exac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30214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172085</wp:posOffset>
              </wp:positionV>
              <wp:extent cx="245110" cy="170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48" w:lineRule="exact"/>
                            <w:ind w:left="20"/>
                          </w:pPr>
                          <w:r>
                            <w:t>L04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5pt;margin-top:13.55pt;height:13.4pt;width:19.3pt;mso-position-horizontal-relative:page;mso-position-vertical-relative:page;z-index:-14336;mso-width-relative:page;mso-height-relative:page;" filled="f" stroked="f" coordsize="21600,21600" o:gfxdata="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sP4mrZAAAACQEAAA8AAAAAAAAA&#10;AQAgAAAAIgAAAGRycy9kb3ducmV2LnhtbFBLAQIUABQAAAAIAIdO4kCh3uTs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48" w:lineRule="exact"/>
                      <w:ind w:left="20"/>
                    </w:pPr>
                    <w:r>
                      <w:t>L04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234F9"/>
    <w:rsid w:val="49457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3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2020-09-23T17:18:00Z</dcterms:created>
  <dc:creator>温奇峰</dc:creator>
  <cp:lastModifiedBy>Wen超</cp:lastModifiedBy>
  <dcterms:modified xsi:type="dcterms:W3CDTF">2020-09-27T03:53:03Z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2052-11.1.0.9999</vt:lpwstr>
  </property>
</Properties>
</file>