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sz w:val="44"/>
          <w:szCs w:val="36"/>
          <w:lang w:eastAsia="zh-CN"/>
        </w:rPr>
      </w:pPr>
      <w:r>
        <w:rPr>
          <w:rFonts w:hint="eastAsia" w:ascii="黑体" w:hAnsi="黑体" w:eastAsia="黑体"/>
          <w:sz w:val="44"/>
          <w:szCs w:val="36"/>
          <w:lang w:eastAsia="zh-CN"/>
        </w:rPr>
        <w:t>景德镇市人民政府办公室</w:t>
      </w:r>
    </w:p>
    <w:p>
      <w:pPr>
        <w:spacing w:line="600" w:lineRule="exact"/>
        <w:jc w:val="center"/>
        <w:rPr>
          <w:rFonts w:hint="eastAsia" w:ascii="黑体" w:eastAsia="黑体"/>
          <w:sz w:val="44"/>
          <w:szCs w:val="36"/>
        </w:rPr>
      </w:pP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sz w:val="32"/>
          <w:szCs w:val="32"/>
        </w:rPr>
        <w:t xml:space="preserve">第一部分  </w:t>
      </w:r>
      <w:r>
        <w:rPr>
          <w:rFonts w:hint="eastAsia" w:ascii="黑体" w:hAnsi="黑体" w:eastAsia="黑体"/>
          <w:sz w:val="32"/>
          <w:szCs w:val="32"/>
          <w:lang w:eastAsia="zh-CN"/>
        </w:rPr>
        <w:t>景德镇市人民政府办公室</w:t>
      </w:r>
      <w:r>
        <w:rPr>
          <w:rFonts w:hint="eastAsia" w:ascii="黑体" w:hAnsi="黑体" w:eastAsia="黑体"/>
          <w:sz w:val="32"/>
          <w:szCs w:val="32"/>
          <w:lang w:val="en-US" w:eastAsia="zh-CN"/>
        </w:rPr>
        <w:t>部门</w:t>
      </w:r>
      <w:r>
        <w:rPr>
          <w:rFonts w:hint="eastAsia" w:ascii="黑体" w:hAnsi="黑体" w:eastAsia="黑体"/>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eastAsia="zh-CN"/>
        </w:rPr>
        <w:t>景德镇市人民政府办公室</w:t>
      </w:r>
      <w:r>
        <w:rPr>
          <w:rFonts w:hint="eastAsia" w:ascii="宋体" w:hAnsi="宋体"/>
          <w:b/>
          <w:sz w:val="32"/>
          <w:szCs w:val="32"/>
        </w:rPr>
        <w:t>部门</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spacing w:line="600" w:lineRule="exact"/>
        <w:ind w:firstLine="600" w:firstLineChars="200"/>
        <w:rPr>
          <w:rFonts w:eastAsia="仿宋_GB2312"/>
          <w:sz w:val="32"/>
          <w:szCs w:val="32"/>
        </w:rPr>
      </w:pPr>
      <w:r>
        <w:rPr>
          <w:rFonts w:hint="eastAsia" w:ascii="仿宋" w:hAnsi="仿宋" w:eastAsia="仿宋"/>
          <w:sz w:val="30"/>
          <w:szCs w:val="30"/>
        </w:rPr>
        <w:t>（一）</w:t>
      </w:r>
      <w:r>
        <w:rPr>
          <w:rFonts w:eastAsia="仿宋_GB2312"/>
          <w:sz w:val="32"/>
          <w:szCs w:val="32"/>
        </w:rPr>
        <w:t>负责市政府会议的会务工作，协助市政府领导同志组织实施会议决定事项。</w:t>
      </w:r>
    </w:p>
    <w:p>
      <w:pPr>
        <w:spacing w:line="600" w:lineRule="exact"/>
        <w:ind w:firstLine="600" w:firstLineChars="200"/>
        <w:rPr>
          <w:rFonts w:hint="eastAsia" w:eastAsia="仿宋_GB2312"/>
          <w:sz w:val="32"/>
          <w:szCs w:val="32"/>
          <w:lang w:eastAsia="zh-CN"/>
        </w:rPr>
      </w:pPr>
      <w:r>
        <w:rPr>
          <w:rFonts w:hint="eastAsia" w:ascii="仿宋" w:hAnsi="仿宋" w:eastAsia="仿宋"/>
          <w:sz w:val="30"/>
          <w:szCs w:val="30"/>
        </w:rPr>
        <w:t>（</w:t>
      </w:r>
      <w:r>
        <w:rPr>
          <w:rFonts w:hint="eastAsia" w:ascii="仿宋" w:hAnsi="仿宋" w:eastAsia="仿宋"/>
          <w:sz w:val="30"/>
          <w:szCs w:val="30"/>
          <w:lang w:eastAsia="zh-CN"/>
        </w:rPr>
        <w:t>二</w:t>
      </w:r>
      <w:r>
        <w:rPr>
          <w:rFonts w:hint="eastAsia" w:ascii="仿宋" w:hAnsi="仿宋" w:eastAsia="仿宋"/>
          <w:sz w:val="30"/>
          <w:szCs w:val="30"/>
        </w:rPr>
        <w:t>）</w:t>
      </w:r>
      <w:r>
        <w:rPr>
          <w:rFonts w:eastAsia="仿宋_GB2312"/>
          <w:sz w:val="32"/>
          <w:szCs w:val="32"/>
        </w:rPr>
        <w:t>协助市政府领导同志组织起草或审核以市政府、市政府办公室名义发布的公文</w:t>
      </w:r>
      <w:r>
        <w:rPr>
          <w:rFonts w:hint="eastAsia" w:eastAsia="仿宋_GB2312"/>
          <w:sz w:val="32"/>
          <w:szCs w:val="32"/>
          <w:lang w:eastAsia="zh-CN"/>
        </w:rPr>
        <w:t>。</w:t>
      </w:r>
    </w:p>
    <w:p>
      <w:pPr>
        <w:spacing w:line="600" w:lineRule="exact"/>
        <w:ind w:firstLine="600" w:firstLineChars="200"/>
        <w:rPr>
          <w:rFonts w:eastAsia="仿宋_GB2312"/>
          <w:sz w:val="32"/>
          <w:szCs w:val="32"/>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w:t>
      </w:r>
      <w:r>
        <w:rPr>
          <w:rFonts w:eastAsia="仿宋_GB2312"/>
          <w:sz w:val="32"/>
          <w:szCs w:val="32"/>
        </w:rPr>
        <w:t>办理党中央、国务院及其各部门和省委、省政府及其各部门，市委公文呈（传）阅，提出贯彻意见，报市政府领导同志决定。</w:t>
      </w:r>
    </w:p>
    <w:p>
      <w:pPr>
        <w:spacing w:line="600" w:lineRule="exact"/>
        <w:ind w:firstLine="600" w:firstLineChars="200"/>
        <w:rPr>
          <w:rFonts w:eastAsia="仿宋_GB2312"/>
          <w:sz w:val="32"/>
          <w:szCs w:val="32"/>
        </w:rPr>
      </w:pPr>
      <w:r>
        <w:rPr>
          <w:rFonts w:hint="eastAsia" w:ascii="仿宋" w:hAnsi="仿宋" w:eastAsia="仿宋"/>
          <w:sz w:val="30"/>
          <w:szCs w:val="30"/>
        </w:rPr>
        <w:t>（</w:t>
      </w:r>
      <w:r>
        <w:rPr>
          <w:rFonts w:hint="eastAsia" w:ascii="仿宋" w:hAnsi="仿宋" w:eastAsia="仿宋"/>
          <w:sz w:val="30"/>
          <w:szCs w:val="30"/>
          <w:lang w:eastAsia="zh-CN"/>
        </w:rPr>
        <w:t>四</w:t>
      </w:r>
      <w:r>
        <w:rPr>
          <w:rFonts w:hint="eastAsia" w:ascii="仿宋" w:hAnsi="仿宋" w:eastAsia="仿宋"/>
          <w:sz w:val="30"/>
          <w:szCs w:val="30"/>
        </w:rPr>
        <w:t>）</w:t>
      </w:r>
      <w:r>
        <w:rPr>
          <w:rFonts w:eastAsia="仿宋_GB2312"/>
          <w:sz w:val="32"/>
          <w:szCs w:val="32"/>
        </w:rPr>
        <w:t>研究市政府各部门、各县（市、区）政府请示市政府的事项，提出审核意见，报市政府领导同志</w:t>
      </w:r>
      <w:r>
        <w:rPr>
          <w:rFonts w:hint="eastAsia" w:eastAsia="仿宋_GB2312"/>
          <w:sz w:val="32"/>
          <w:szCs w:val="32"/>
          <w:lang w:val="en-US" w:eastAsia="zh-CN"/>
        </w:rPr>
        <w:t>审批</w:t>
      </w:r>
      <w:r>
        <w:rPr>
          <w:rFonts w:eastAsia="仿宋_GB2312"/>
          <w:sz w:val="32"/>
          <w:szCs w:val="32"/>
        </w:rPr>
        <w:t>。</w:t>
      </w:r>
    </w:p>
    <w:p>
      <w:pPr>
        <w:spacing w:line="600" w:lineRule="exact"/>
        <w:ind w:firstLine="600" w:firstLineChars="200"/>
        <w:rPr>
          <w:rFonts w:eastAsia="仿宋_GB2312"/>
          <w:sz w:val="32"/>
          <w:szCs w:val="32"/>
        </w:rPr>
      </w:pPr>
      <w:r>
        <w:rPr>
          <w:rFonts w:hint="eastAsia" w:ascii="仿宋" w:hAnsi="仿宋" w:eastAsia="仿宋"/>
          <w:sz w:val="30"/>
          <w:szCs w:val="30"/>
        </w:rPr>
        <w:t>（</w:t>
      </w:r>
      <w:r>
        <w:rPr>
          <w:rFonts w:hint="eastAsia" w:ascii="仿宋" w:hAnsi="仿宋" w:eastAsia="仿宋"/>
          <w:sz w:val="30"/>
          <w:szCs w:val="30"/>
          <w:lang w:eastAsia="zh-CN"/>
        </w:rPr>
        <w:t>五</w:t>
      </w:r>
      <w:r>
        <w:rPr>
          <w:rFonts w:hint="eastAsia" w:ascii="仿宋" w:hAnsi="仿宋" w:eastAsia="仿宋"/>
          <w:sz w:val="30"/>
          <w:szCs w:val="30"/>
        </w:rPr>
        <w:t>）</w:t>
      </w:r>
      <w:r>
        <w:rPr>
          <w:rFonts w:eastAsia="仿宋_GB2312"/>
          <w:sz w:val="32"/>
          <w:szCs w:val="32"/>
        </w:rPr>
        <w:t>根据市政府领导同志指示，对市政府各部门间相互协商后仍有争议的问题提出处理意见，报市政府领导同志决定。</w:t>
      </w:r>
    </w:p>
    <w:p>
      <w:pPr>
        <w:spacing w:line="600" w:lineRule="exact"/>
        <w:ind w:firstLine="600" w:firstLineChars="200"/>
        <w:rPr>
          <w:rFonts w:eastAsia="仿宋_GB2312"/>
          <w:sz w:val="32"/>
          <w:szCs w:val="32"/>
        </w:rPr>
      </w:pPr>
      <w:r>
        <w:rPr>
          <w:rFonts w:hint="eastAsia" w:ascii="仿宋" w:hAnsi="仿宋" w:eastAsia="仿宋"/>
          <w:sz w:val="30"/>
          <w:szCs w:val="30"/>
        </w:rPr>
        <w:t>（</w:t>
      </w:r>
      <w:r>
        <w:rPr>
          <w:rFonts w:hint="eastAsia" w:ascii="仿宋" w:hAnsi="仿宋" w:eastAsia="仿宋"/>
          <w:sz w:val="30"/>
          <w:szCs w:val="30"/>
          <w:lang w:eastAsia="zh-CN"/>
        </w:rPr>
        <w:t>六</w:t>
      </w:r>
      <w:r>
        <w:rPr>
          <w:rFonts w:hint="eastAsia" w:ascii="仿宋" w:hAnsi="仿宋" w:eastAsia="仿宋"/>
          <w:sz w:val="30"/>
          <w:szCs w:val="30"/>
        </w:rPr>
        <w:t>）</w:t>
      </w:r>
      <w:r>
        <w:rPr>
          <w:rFonts w:eastAsia="仿宋_GB2312"/>
          <w:sz w:val="32"/>
          <w:szCs w:val="32"/>
        </w:rPr>
        <w:t>督促检查市政府各部门和各县（市、区）政府对国务院、省政府和市政府公文、会议决定事项</w:t>
      </w:r>
      <w:r>
        <w:rPr>
          <w:rFonts w:hint="eastAsia" w:eastAsia="仿宋_GB2312"/>
          <w:sz w:val="32"/>
          <w:szCs w:val="32"/>
          <w:lang w:val="en-US" w:eastAsia="zh-CN"/>
        </w:rPr>
        <w:t>以</w:t>
      </w:r>
      <w:r>
        <w:rPr>
          <w:rFonts w:eastAsia="仿宋_GB2312"/>
          <w:sz w:val="32"/>
          <w:szCs w:val="32"/>
        </w:rPr>
        <w:t>及市政府领导同志有关指示的贯彻落实情况，及时向市政府领导同志报告。</w:t>
      </w:r>
    </w:p>
    <w:p>
      <w:pPr>
        <w:spacing w:line="600" w:lineRule="exact"/>
        <w:ind w:firstLine="600" w:firstLineChars="200"/>
        <w:rPr>
          <w:rFonts w:eastAsia="仿宋_GB2312"/>
          <w:sz w:val="32"/>
          <w:szCs w:val="32"/>
        </w:rPr>
      </w:pPr>
      <w:r>
        <w:rPr>
          <w:rFonts w:hint="eastAsia" w:ascii="仿宋" w:hAnsi="仿宋" w:eastAsia="仿宋"/>
          <w:sz w:val="30"/>
          <w:szCs w:val="30"/>
        </w:rPr>
        <w:t>（</w:t>
      </w:r>
      <w:r>
        <w:rPr>
          <w:rFonts w:hint="eastAsia" w:ascii="仿宋" w:hAnsi="仿宋" w:eastAsia="仿宋"/>
          <w:sz w:val="30"/>
          <w:szCs w:val="30"/>
          <w:lang w:eastAsia="zh-CN"/>
        </w:rPr>
        <w:t>七</w:t>
      </w:r>
      <w:r>
        <w:rPr>
          <w:rFonts w:hint="eastAsia" w:ascii="仿宋" w:hAnsi="仿宋" w:eastAsia="仿宋"/>
          <w:sz w:val="30"/>
          <w:szCs w:val="30"/>
        </w:rPr>
        <w:t>）</w:t>
      </w:r>
      <w:r>
        <w:rPr>
          <w:rFonts w:eastAsia="仿宋_GB2312"/>
          <w:sz w:val="32"/>
          <w:szCs w:val="32"/>
        </w:rPr>
        <w:t>负责与市人大、市政协联系，组织、督促有关部门和单位及时办理全国人大代表、省人大代表、市人大代表建议和全国政协委员、省政协委员、市政协委员提案。</w:t>
      </w:r>
    </w:p>
    <w:p>
      <w:pPr>
        <w:spacing w:line="600" w:lineRule="exact"/>
        <w:ind w:firstLine="600" w:firstLineChars="200"/>
        <w:rPr>
          <w:rFonts w:eastAsia="仿宋_GB2312"/>
          <w:sz w:val="32"/>
          <w:szCs w:val="32"/>
        </w:rPr>
      </w:pPr>
      <w:r>
        <w:rPr>
          <w:rFonts w:hint="eastAsia" w:ascii="仿宋" w:hAnsi="仿宋" w:eastAsia="仿宋"/>
          <w:sz w:val="30"/>
          <w:szCs w:val="30"/>
        </w:rPr>
        <w:t>（</w:t>
      </w:r>
      <w:r>
        <w:rPr>
          <w:rFonts w:hint="eastAsia" w:ascii="仿宋" w:hAnsi="仿宋" w:eastAsia="仿宋"/>
          <w:sz w:val="30"/>
          <w:szCs w:val="30"/>
          <w:lang w:eastAsia="zh-CN"/>
        </w:rPr>
        <w:t>八</w:t>
      </w:r>
      <w:r>
        <w:rPr>
          <w:rFonts w:hint="eastAsia" w:ascii="仿宋" w:hAnsi="仿宋" w:eastAsia="仿宋"/>
          <w:sz w:val="30"/>
          <w:szCs w:val="30"/>
        </w:rPr>
        <w:t>）</w:t>
      </w:r>
      <w:r>
        <w:rPr>
          <w:rFonts w:eastAsia="仿宋_GB2312"/>
          <w:sz w:val="32"/>
          <w:szCs w:val="32"/>
        </w:rPr>
        <w:t>根据市政府领导同志的指示，组织专题调查研究，及时反映情况，提出建议。</w:t>
      </w:r>
    </w:p>
    <w:p>
      <w:pPr>
        <w:spacing w:line="600" w:lineRule="exact"/>
        <w:ind w:firstLine="600" w:firstLineChars="200"/>
        <w:rPr>
          <w:rFonts w:eastAsia="仿宋_GB2312"/>
          <w:sz w:val="32"/>
          <w:szCs w:val="32"/>
        </w:rPr>
      </w:pPr>
      <w:r>
        <w:rPr>
          <w:rFonts w:hint="eastAsia" w:ascii="仿宋" w:hAnsi="仿宋" w:eastAsia="仿宋"/>
          <w:sz w:val="30"/>
          <w:szCs w:val="30"/>
        </w:rPr>
        <w:t>（</w:t>
      </w:r>
      <w:r>
        <w:rPr>
          <w:rFonts w:hint="eastAsia" w:ascii="仿宋" w:hAnsi="仿宋" w:eastAsia="仿宋"/>
          <w:sz w:val="30"/>
          <w:szCs w:val="30"/>
          <w:lang w:eastAsia="zh-CN"/>
        </w:rPr>
        <w:t>九</w:t>
      </w:r>
      <w:r>
        <w:rPr>
          <w:rFonts w:hint="eastAsia" w:ascii="仿宋" w:hAnsi="仿宋" w:eastAsia="仿宋"/>
          <w:sz w:val="30"/>
          <w:szCs w:val="30"/>
        </w:rPr>
        <w:t>）</w:t>
      </w:r>
      <w:r>
        <w:rPr>
          <w:rFonts w:eastAsia="仿宋_GB2312"/>
          <w:sz w:val="32"/>
          <w:szCs w:val="32"/>
        </w:rPr>
        <w:t>指导、监督全市政府信息公开</w:t>
      </w:r>
      <w:r>
        <w:rPr>
          <w:rFonts w:hint="eastAsia" w:eastAsia="仿宋_GB2312"/>
          <w:sz w:val="32"/>
          <w:szCs w:val="32"/>
          <w:lang w:eastAsia="zh-CN"/>
        </w:rPr>
        <w:t>、</w:t>
      </w:r>
      <w:r>
        <w:rPr>
          <w:rFonts w:eastAsia="仿宋_GB2312"/>
          <w:sz w:val="32"/>
          <w:szCs w:val="32"/>
        </w:rPr>
        <w:t>公共节能监督管理工作。</w:t>
      </w:r>
    </w:p>
    <w:p>
      <w:pPr>
        <w:spacing w:line="600" w:lineRule="exact"/>
        <w:ind w:firstLine="600" w:firstLineChars="200"/>
        <w:rPr>
          <w:rFonts w:eastAsia="仿宋_GB2312"/>
          <w:sz w:val="32"/>
          <w:szCs w:val="32"/>
        </w:rPr>
      </w:pPr>
      <w:r>
        <w:rPr>
          <w:rFonts w:hint="eastAsia" w:ascii="仿宋" w:hAnsi="仿宋" w:eastAsia="仿宋"/>
          <w:sz w:val="30"/>
          <w:szCs w:val="30"/>
        </w:rPr>
        <w:t>（</w:t>
      </w:r>
      <w:r>
        <w:rPr>
          <w:rFonts w:hint="eastAsia" w:ascii="仿宋" w:hAnsi="仿宋" w:eastAsia="仿宋"/>
          <w:sz w:val="30"/>
          <w:szCs w:val="30"/>
          <w:lang w:eastAsia="zh-CN"/>
        </w:rPr>
        <w:t>十</w:t>
      </w:r>
      <w:r>
        <w:rPr>
          <w:rFonts w:hint="eastAsia" w:ascii="仿宋" w:hAnsi="仿宋" w:eastAsia="仿宋"/>
          <w:sz w:val="30"/>
          <w:szCs w:val="30"/>
        </w:rPr>
        <w:t>）</w:t>
      </w:r>
      <w:r>
        <w:rPr>
          <w:rFonts w:eastAsia="仿宋_GB2312"/>
          <w:sz w:val="32"/>
          <w:szCs w:val="32"/>
          <w:lang w:val="en-US" w:eastAsia="zh-CN"/>
        </w:rPr>
        <w:t xml:space="preserve">贯彻执行中央、省“放管服”改革、推进政府职能转变、 </w:t>
      </w:r>
      <w:r>
        <w:rPr>
          <w:rFonts w:hint="default" w:eastAsia="仿宋_GB2312"/>
          <w:sz w:val="32"/>
          <w:szCs w:val="32"/>
          <w:lang w:val="en-US" w:eastAsia="zh-CN"/>
        </w:rPr>
        <w:t>加强政务服务工作的方针、政策以及市委、市政府的决策部署，依法实施有关法律法规规章。负责牵头拟订全市推进政府职能转变、加强政务服务的政策、制度、办法、标准，并组织实施。负责组织推进、指导协调、督促考核全市政务服务和政府职能转变工作。指导并推进全市政务服务体系建设，组织推进行政权力依法规范公开运行。指导、开展对全市“放管服”改革、推进政府职能转变、政务服务的教育培训和业务工作的调查研究、评估分析。负责市本级行政审批制度改革和对县（市、区）政府行政审批制度改革的指导工作，组织编制规范市政府部门权责清单；承担市行政审批制度改革工作领导小组办公室的行政审批制度改革日常工作。</w:t>
      </w:r>
    </w:p>
    <w:p>
      <w:pPr>
        <w:numPr>
          <w:ilvl w:val="0"/>
          <w:numId w:val="1"/>
        </w:numPr>
        <w:spacing w:line="600" w:lineRule="exact"/>
        <w:ind w:firstLine="640" w:firstLineChars="200"/>
        <w:rPr>
          <w:rStyle w:val="5"/>
          <w:rFonts w:eastAsia="仿宋_GB2312"/>
          <w:b w:val="0"/>
          <w:bCs w:val="0"/>
          <w:sz w:val="32"/>
          <w:szCs w:val="32"/>
        </w:rPr>
      </w:pPr>
      <w:r>
        <w:rPr>
          <w:rFonts w:eastAsia="仿宋_GB2312"/>
          <w:sz w:val="32"/>
          <w:szCs w:val="32"/>
        </w:rPr>
        <w:t>负责群众来函来信办理工作，及时向市政府领导同志报告来信来访中提出的重要建议和反映的重要问题，办理市政府领导同志交办的有关信访事项。</w:t>
      </w:r>
    </w:p>
    <w:p>
      <w:pPr>
        <w:numPr>
          <w:ilvl w:val="0"/>
          <w:numId w:val="1"/>
        </w:numPr>
        <w:spacing w:line="600" w:lineRule="exact"/>
        <w:ind w:firstLine="640" w:firstLineChars="200"/>
        <w:rPr>
          <w:rStyle w:val="5"/>
          <w:rFonts w:eastAsia="仿宋_GB2312"/>
          <w:b w:val="0"/>
          <w:bCs w:val="0"/>
          <w:sz w:val="32"/>
          <w:szCs w:val="32"/>
        </w:rPr>
      </w:pPr>
      <w:r>
        <w:rPr>
          <w:rFonts w:eastAsia="仿宋_GB2312"/>
          <w:sz w:val="32"/>
          <w:szCs w:val="32"/>
        </w:rPr>
        <w:t>负责市政府值班工作和全市政府系统信息工作，及时报告重要情况，传达、督办省政府和市政府领导同志指示</w:t>
      </w:r>
      <w:r>
        <w:rPr>
          <w:rFonts w:hint="eastAsia" w:eastAsia="仿宋_GB2312"/>
          <w:sz w:val="32"/>
          <w:szCs w:val="32"/>
          <w:lang w:eastAsia="zh-CN"/>
        </w:rPr>
        <w:t>，</w:t>
      </w:r>
      <w:r>
        <w:rPr>
          <w:rFonts w:eastAsia="仿宋_GB2312"/>
          <w:sz w:val="32"/>
          <w:szCs w:val="32"/>
          <w:lang w:val="en-US" w:eastAsia="zh-CN"/>
        </w:rPr>
        <w:t>负</w:t>
      </w:r>
      <w:r>
        <w:rPr>
          <w:rFonts w:hint="default" w:eastAsia="仿宋_GB2312"/>
          <w:sz w:val="32"/>
          <w:szCs w:val="32"/>
          <w:lang w:val="en-US" w:eastAsia="zh-CN"/>
        </w:rPr>
        <w:t>责市政府指挥中心管理维护。</w:t>
      </w:r>
    </w:p>
    <w:p>
      <w:pPr>
        <w:numPr>
          <w:ilvl w:val="0"/>
          <w:numId w:val="1"/>
        </w:numPr>
        <w:spacing w:line="600" w:lineRule="exact"/>
        <w:ind w:firstLine="640" w:firstLineChars="200"/>
        <w:rPr>
          <w:rFonts w:eastAsia="仿宋_GB2312"/>
          <w:sz w:val="32"/>
          <w:szCs w:val="32"/>
        </w:rPr>
      </w:pPr>
      <w:r>
        <w:rPr>
          <w:rFonts w:eastAsia="仿宋_GB2312"/>
          <w:sz w:val="32"/>
          <w:szCs w:val="32"/>
          <w:lang w:val="en-US" w:eastAsia="zh-CN"/>
        </w:rPr>
        <w:t>研究拟订全市金融发展中长期规划和工作计划，研</w:t>
      </w:r>
      <w:r>
        <w:rPr>
          <w:rFonts w:hint="default" w:eastAsia="仿宋_GB2312"/>
          <w:sz w:val="32"/>
          <w:szCs w:val="32"/>
          <w:lang w:val="en-US" w:eastAsia="zh-CN"/>
        </w:rPr>
        <w:t>究分析经济金融形势，提出优化金融环境、改善金融服务、促进金融发展的政策建议。负责与金融机构的联系、协调；负责全市企业上市工作；负责小额贷款公司、融资性担保机构等其他地方金融中介组织的管理；配合有关部门整顿和规范金融秩序，防范化解地方金融风险</w:t>
      </w:r>
      <w:r>
        <w:rPr>
          <w:rFonts w:eastAsia="仿宋_GB2312"/>
          <w:sz w:val="32"/>
          <w:szCs w:val="32"/>
          <w:lang w:val="en-US" w:eastAsia="zh-CN"/>
        </w:rPr>
        <w:t>;</w:t>
      </w:r>
      <w:r>
        <w:rPr>
          <w:rFonts w:hint="default" w:eastAsia="仿宋_GB2312"/>
          <w:sz w:val="32"/>
          <w:szCs w:val="32"/>
          <w:lang w:val="en-US" w:eastAsia="zh-CN"/>
        </w:rPr>
        <w:t>协调推进地方法人金融机构的设立和规范发展；推进全市金融人才队伍规划与建设工作</w:t>
      </w:r>
      <w:r>
        <w:rPr>
          <w:rFonts w:hint="eastAsia" w:eastAsia="仿宋_GB2312"/>
          <w:sz w:val="32"/>
          <w:szCs w:val="32"/>
          <w:lang w:val="en-US" w:eastAsia="zh-CN"/>
        </w:rPr>
        <w:t>。</w:t>
      </w:r>
    </w:p>
    <w:p>
      <w:pPr>
        <w:numPr>
          <w:ilvl w:val="0"/>
          <w:numId w:val="1"/>
        </w:numPr>
        <w:spacing w:line="60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负责市政府后勤保障，负责办公室工作人员、离退休人员的管理和市政府参事选聘和管理等方面的工作。</w:t>
      </w:r>
    </w:p>
    <w:p>
      <w:pPr>
        <w:numPr>
          <w:ilvl w:val="0"/>
          <w:numId w:val="1"/>
        </w:numPr>
        <w:spacing w:line="60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办理市政府和市政府领导同志交办的其他事项。</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w:t>
      </w:r>
      <w:r>
        <w:rPr>
          <w:rFonts w:hint="eastAsia" w:ascii="仿宋" w:hAnsi="仿宋" w:eastAsia="仿宋"/>
          <w:sz w:val="30"/>
          <w:szCs w:val="30"/>
          <w:lang w:val="en-US" w:eastAsia="zh-CN"/>
        </w:rPr>
        <w:t>即部门本级</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年年末实有人数 </w:t>
      </w:r>
      <w:r>
        <w:rPr>
          <w:rFonts w:hint="eastAsia" w:ascii="仿宋" w:hAnsi="仿宋" w:eastAsia="仿宋"/>
          <w:sz w:val="30"/>
          <w:szCs w:val="30"/>
          <w:lang w:val="en-US" w:eastAsia="zh-CN"/>
        </w:rPr>
        <w:t>161</w:t>
      </w:r>
      <w:r>
        <w:rPr>
          <w:rFonts w:hint="eastAsia" w:ascii="仿宋" w:hAnsi="仿宋" w:eastAsia="仿宋"/>
          <w:sz w:val="30"/>
          <w:szCs w:val="30"/>
        </w:rPr>
        <w:t>人，其中在职人员</w:t>
      </w:r>
      <w:r>
        <w:rPr>
          <w:rFonts w:hint="eastAsia" w:ascii="仿宋" w:hAnsi="仿宋" w:eastAsia="仿宋"/>
          <w:sz w:val="30"/>
          <w:szCs w:val="30"/>
          <w:lang w:val="en-US" w:eastAsia="zh-CN"/>
        </w:rPr>
        <w:t>93</w:t>
      </w:r>
      <w:r>
        <w:rPr>
          <w:rFonts w:hint="eastAsia" w:ascii="仿宋" w:hAnsi="仿宋" w:eastAsia="仿宋"/>
          <w:sz w:val="30"/>
          <w:szCs w:val="30"/>
        </w:rPr>
        <w:t>人，离休人员</w:t>
      </w:r>
      <w:r>
        <w:rPr>
          <w:rFonts w:hint="eastAsia" w:ascii="仿宋" w:hAnsi="仿宋" w:eastAsia="仿宋"/>
          <w:sz w:val="30"/>
          <w:szCs w:val="30"/>
          <w:lang w:val="en-US" w:eastAsia="zh-CN"/>
        </w:rPr>
        <w:t>3</w:t>
      </w:r>
      <w:r>
        <w:rPr>
          <w:rFonts w:hint="eastAsia" w:ascii="仿宋" w:hAnsi="仿宋" w:eastAsia="仿宋"/>
          <w:sz w:val="30"/>
          <w:szCs w:val="30"/>
        </w:rPr>
        <w:t>人，退休人员</w:t>
      </w:r>
      <w:r>
        <w:rPr>
          <w:rFonts w:hint="eastAsia" w:ascii="仿宋" w:hAnsi="仿宋" w:eastAsia="仿宋"/>
          <w:sz w:val="30"/>
          <w:szCs w:val="30"/>
          <w:lang w:val="en-US" w:eastAsia="zh-CN"/>
        </w:rPr>
        <w:t>65</w:t>
      </w:r>
      <w:r>
        <w:rPr>
          <w:rFonts w:hint="eastAsia" w:ascii="仿宋" w:hAnsi="仿宋" w:eastAsia="仿宋"/>
          <w:sz w:val="30"/>
          <w:szCs w:val="30"/>
        </w:rPr>
        <w:t>人；</w:t>
      </w:r>
      <w:r>
        <w:rPr>
          <w:rFonts w:hint="eastAsia" w:ascii="仿宋" w:hAnsi="仿宋" w:eastAsia="仿宋"/>
          <w:sz w:val="30"/>
          <w:szCs w:val="30"/>
          <w:lang w:val="en-US" w:eastAsia="zh-CN"/>
        </w:rPr>
        <w:t>年末其他人员25人；</w:t>
      </w:r>
      <w:r>
        <w:rPr>
          <w:rFonts w:hint="eastAsia" w:ascii="仿宋" w:hAnsi="仿宋" w:eastAsia="仿宋"/>
          <w:sz w:val="30"/>
          <w:szCs w:val="30"/>
        </w:rPr>
        <w:t>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pPr>
        <w:widowControl/>
        <w:numPr>
          <w:ilvl w:val="0"/>
          <w:numId w:val="2"/>
        </w:numPr>
        <w:spacing w:line="600" w:lineRule="exact"/>
        <w:jc w:val="center"/>
        <w:rPr>
          <w:rFonts w:hint="eastAsia" w:ascii="宋体" w:hAnsi="宋体"/>
          <w:b/>
          <w:sz w:val="32"/>
          <w:szCs w:val="32"/>
        </w:rPr>
      </w:pPr>
      <w:r>
        <w:rPr>
          <w:rFonts w:hint="eastAsia" w:ascii="宋体" w:hAnsi="宋体"/>
          <w:b/>
          <w:sz w:val="32"/>
          <w:szCs w:val="32"/>
        </w:rPr>
        <w:t xml:space="preserve"> 201</w:t>
      </w:r>
      <w:r>
        <w:rPr>
          <w:rFonts w:hint="eastAsia" w:ascii="宋体" w:hAnsi="宋体"/>
          <w:b/>
          <w:sz w:val="32"/>
          <w:szCs w:val="32"/>
          <w:lang w:val="en-US" w:eastAsia="zh-CN"/>
        </w:rPr>
        <w:t>9</w:t>
      </w:r>
      <w:r>
        <w:rPr>
          <w:rFonts w:hint="eastAsia" w:ascii="宋体" w:hAnsi="宋体"/>
          <w:b/>
          <w:sz w:val="32"/>
          <w:szCs w:val="32"/>
        </w:rPr>
        <w:t>年度部门决算表</w:t>
      </w:r>
    </w:p>
    <w:tbl>
      <w:tblPr>
        <w:tblStyle w:val="3"/>
        <w:tblW w:w="8240" w:type="dxa"/>
        <w:tblInd w:w="0" w:type="dxa"/>
        <w:shd w:val="clear" w:color="auto" w:fill="auto"/>
        <w:tblLayout w:type="autofit"/>
        <w:tblCellMar>
          <w:top w:w="0" w:type="dxa"/>
          <w:left w:w="0" w:type="dxa"/>
          <w:bottom w:w="0" w:type="dxa"/>
          <w:right w:w="0" w:type="dxa"/>
        </w:tblCellMar>
      </w:tblPr>
      <w:tblGrid>
        <w:gridCol w:w="2825"/>
        <w:gridCol w:w="395"/>
        <w:gridCol w:w="897"/>
        <w:gridCol w:w="2805"/>
        <w:gridCol w:w="392"/>
        <w:gridCol w:w="949"/>
      </w:tblGrid>
      <w:tr>
        <w:tblPrEx>
          <w:shd w:val="clear" w:color="auto" w:fill="auto"/>
          <w:tblCellMar>
            <w:top w:w="0" w:type="dxa"/>
            <w:left w:w="0" w:type="dxa"/>
            <w:bottom w:w="0" w:type="dxa"/>
            <w:right w:w="0" w:type="dxa"/>
          </w:tblCellMar>
        </w:tblPrEx>
        <w:trPr>
          <w:trHeight w:val="656" w:hRule="atLeast"/>
        </w:trPr>
        <w:tc>
          <w:tcPr>
            <w:tcW w:w="8240" w:type="dxa"/>
            <w:gridSpan w:val="6"/>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收入支出决算总表</w:t>
            </w:r>
          </w:p>
        </w:tc>
      </w:tr>
      <w:tr>
        <w:tblPrEx>
          <w:shd w:val="clear" w:color="auto" w:fill="auto"/>
          <w:tblCellMar>
            <w:top w:w="0" w:type="dxa"/>
            <w:left w:w="0" w:type="dxa"/>
            <w:bottom w:w="0" w:type="dxa"/>
            <w:right w:w="0" w:type="dxa"/>
          </w:tblCellMar>
        </w:tblPrEx>
        <w:trPr>
          <w:trHeight w:val="338" w:hRule="atLeast"/>
        </w:trPr>
        <w:tc>
          <w:tcPr>
            <w:tcW w:w="0" w:type="auto"/>
            <w:tcBorders>
              <w:top w:val="nil"/>
              <w:left w:val="nil"/>
              <w:bottom w:val="nil"/>
              <w:right w:val="nil"/>
            </w:tcBorders>
            <w:shd w:val="clear" w:color="auto" w:fill="auto"/>
            <w:noWrap/>
            <w:tcMar>
              <w:top w:w="10" w:type="dxa"/>
              <w:left w:w="10" w:type="dxa"/>
              <w:right w:w="10" w:type="dxa"/>
            </w:tcMar>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0" w:type="auto"/>
            <w:gridSpan w:val="3"/>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38" w:hRule="atLeast"/>
        </w:trPr>
        <w:tc>
          <w:tcPr>
            <w:tcW w:w="0" w:type="auto"/>
            <w:gridSpan w:val="2"/>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编制单位：景德镇市人民政府办公室</w:t>
            </w:r>
          </w:p>
        </w:tc>
        <w:tc>
          <w:tcPr>
            <w:tcW w:w="0" w:type="auto"/>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0" w:type="auto"/>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shd w:val="clear" w:color="auto" w:fill="auto"/>
          <w:tblCellMar>
            <w:top w:w="0" w:type="dxa"/>
            <w:left w:w="0" w:type="dxa"/>
            <w:bottom w:w="0" w:type="dxa"/>
            <w:right w:w="0" w:type="dxa"/>
          </w:tblCellMar>
        </w:tblPrEx>
        <w:trPr>
          <w:trHeight w:val="35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     入</w:t>
            </w:r>
          </w:p>
        </w:tc>
        <w:tc>
          <w:tcPr>
            <w:tcW w:w="0" w:type="auto"/>
            <w:gridSpan w:val="3"/>
            <w:tcBorders>
              <w:top w:val="single" w:color="000000" w:sz="4" w:space="0"/>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     出</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决算数</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项目（按功能分类）</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决算数</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    次</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    次</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2,675.58</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2,381.55</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三、上级补助收入</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四、事业收入</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五、经营收入</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七、其他收入</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18.32</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189.07</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104.47</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83.98</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二十二、其他支出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二十三、债务还本支出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二十四、债务付息支出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2,693.90</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2,759.07</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用事业基金弥补收支差额</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结余分配                 </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年初结转和结余</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92.79</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年末结转和结余                                </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27.62</w:t>
            </w: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5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2,786.69</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2,786.69</w:t>
            </w:r>
          </w:p>
        </w:tc>
      </w:tr>
      <w:tr>
        <w:tblPrEx>
          <w:shd w:val="clear" w:color="auto" w:fill="auto"/>
          <w:tblCellMar>
            <w:top w:w="0" w:type="dxa"/>
            <w:left w:w="0" w:type="dxa"/>
            <w:bottom w:w="0" w:type="dxa"/>
            <w:right w:w="0" w:type="dxa"/>
          </w:tblCellMar>
        </w:tblPrEx>
        <w:trPr>
          <w:trHeight w:val="378" w:hRule="atLeast"/>
        </w:trPr>
        <w:tc>
          <w:tcPr>
            <w:tcW w:w="0" w:type="auto"/>
            <w:gridSpan w:val="6"/>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注：本表反映部门本年度的总收支和年末结转结余情况。</w:t>
            </w:r>
          </w:p>
        </w:tc>
      </w:tr>
    </w:tbl>
    <w:p>
      <w:pPr>
        <w:widowControl/>
        <w:numPr>
          <w:ilvl w:val="0"/>
          <w:numId w:val="0"/>
        </w:numPr>
        <w:spacing w:line="600" w:lineRule="exact"/>
        <w:jc w:val="both"/>
        <w:rPr>
          <w:rFonts w:hint="eastAsia" w:ascii="宋体" w:hAnsi="宋体"/>
          <w:b/>
          <w:sz w:val="32"/>
          <w:szCs w:val="32"/>
        </w:rPr>
      </w:pPr>
    </w:p>
    <w:p>
      <w:pPr>
        <w:autoSpaceDE w:val="0"/>
        <w:autoSpaceDN w:val="0"/>
        <w:adjustRightInd w:val="0"/>
        <w:spacing w:line="360" w:lineRule="auto"/>
        <w:jc w:val="left"/>
        <w:rPr>
          <w:rFonts w:hint="eastAsia"/>
          <w:szCs w:val="30"/>
        </w:rPr>
      </w:pPr>
    </w:p>
    <w:tbl>
      <w:tblPr>
        <w:tblStyle w:val="3"/>
        <w:tblW w:w="8319" w:type="dxa"/>
        <w:tblInd w:w="0" w:type="dxa"/>
        <w:shd w:val="clear" w:color="auto" w:fill="auto"/>
        <w:tblLayout w:type="fixed"/>
        <w:tblCellMar>
          <w:top w:w="0" w:type="dxa"/>
          <w:left w:w="0" w:type="dxa"/>
          <w:bottom w:w="0" w:type="dxa"/>
          <w:right w:w="0" w:type="dxa"/>
        </w:tblCellMar>
      </w:tblPr>
      <w:tblGrid>
        <w:gridCol w:w="237"/>
        <w:gridCol w:w="237"/>
        <w:gridCol w:w="383"/>
        <w:gridCol w:w="2134"/>
        <w:gridCol w:w="233"/>
        <w:gridCol w:w="667"/>
        <w:gridCol w:w="950"/>
        <w:gridCol w:w="583"/>
        <w:gridCol w:w="619"/>
        <w:gridCol w:w="547"/>
        <w:gridCol w:w="547"/>
        <w:gridCol w:w="604"/>
        <w:gridCol w:w="578"/>
      </w:tblGrid>
      <w:tr>
        <w:tblPrEx>
          <w:shd w:val="clear" w:color="auto" w:fill="auto"/>
          <w:tblCellMar>
            <w:top w:w="0" w:type="dxa"/>
            <w:left w:w="0" w:type="dxa"/>
            <w:bottom w:w="0" w:type="dxa"/>
            <w:right w:w="0" w:type="dxa"/>
          </w:tblCellMar>
        </w:tblPrEx>
        <w:trPr>
          <w:trHeight w:val="550" w:hRule="atLeast"/>
        </w:trPr>
        <w:tc>
          <w:tcPr>
            <w:tcW w:w="8319" w:type="dxa"/>
            <w:gridSpan w:val="13"/>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收入决算表</w:t>
            </w:r>
          </w:p>
        </w:tc>
      </w:tr>
      <w:tr>
        <w:tblPrEx>
          <w:shd w:val="clear" w:color="auto" w:fill="auto"/>
          <w:tblCellMar>
            <w:top w:w="0" w:type="dxa"/>
            <w:left w:w="0" w:type="dxa"/>
            <w:bottom w:w="0" w:type="dxa"/>
            <w:right w:w="0" w:type="dxa"/>
          </w:tblCellMar>
        </w:tblPrEx>
        <w:trPr>
          <w:trHeight w:val="250" w:hRule="atLeast"/>
        </w:trPr>
        <w:tc>
          <w:tcPr>
            <w:tcW w:w="237" w:type="dxa"/>
            <w:tcBorders>
              <w:top w:val="nil"/>
              <w:left w:val="nil"/>
              <w:bottom w:val="nil"/>
              <w:right w:val="nil"/>
            </w:tcBorders>
            <w:shd w:val="clear" w:color="auto" w:fill="auto"/>
            <w:noWrap/>
            <w:tcMar>
              <w:top w:w="10" w:type="dxa"/>
              <w:left w:w="10" w:type="dxa"/>
              <w:right w:w="10" w:type="dxa"/>
            </w:tcMar>
            <w:vAlign w:val="bottom"/>
          </w:tcPr>
          <w:p>
            <w:pPr>
              <w:rPr>
                <w:rFonts w:hint="eastAsia" w:ascii="Arial" w:hAnsi="Arial" w:cs="Arial"/>
                <w:i w:val="0"/>
                <w:color w:val="000000"/>
                <w:sz w:val="18"/>
                <w:szCs w:val="18"/>
                <w:u w:val="none"/>
              </w:rPr>
            </w:pPr>
          </w:p>
        </w:tc>
        <w:tc>
          <w:tcPr>
            <w:tcW w:w="237" w:type="dxa"/>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18"/>
                <w:szCs w:val="18"/>
                <w:u w:val="none"/>
              </w:rPr>
            </w:pPr>
          </w:p>
        </w:tc>
        <w:tc>
          <w:tcPr>
            <w:tcW w:w="383" w:type="dxa"/>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18"/>
                <w:szCs w:val="18"/>
                <w:u w:val="none"/>
              </w:rPr>
            </w:pPr>
          </w:p>
        </w:tc>
        <w:tc>
          <w:tcPr>
            <w:tcW w:w="2134" w:type="dxa"/>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18"/>
                <w:szCs w:val="18"/>
                <w:u w:val="none"/>
              </w:rPr>
            </w:pPr>
          </w:p>
        </w:tc>
        <w:tc>
          <w:tcPr>
            <w:tcW w:w="900" w:type="dxa"/>
            <w:gridSpan w:val="2"/>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18"/>
                <w:szCs w:val="18"/>
                <w:u w:val="none"/>
              </w:rPr>
            </w:pPr>
          </w:p>
        </w:tc>
        <w:tc>
          <w:tcPr>
            <w:tcW w:w="950" w:type="dxa"/>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18"/>
                <w:szCs w:val="18"/>
                <w:u w:val="none"/>
              </w:rPr>
            </w:pPr>
          </w:p>
        </w:tc>
        <w:tc>
          <w:tcPr>
            <w:tcW w:w="583" w:type="dxa"/>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18"/>
                <w:szCs w:val="18"/>
                <w:u w:val="none"/>
              </w:rPr>
            </w:pPr>
          </w:p>
        </w:tc>
        <w:tc>
          <w:tcPr>
            <w:tcW w:w="619" w:type="dxa"/>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18"/>
                <w:szCs w:val="18"/>
                <w:u w:val="none"/>
              </w:rPr>
            </w:pPr>
          </w:p>
        </w:tc>
        <w:tc>
          <w:tcPr>
            <w:tcW w:w="547" w:type="dxa"/>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18"/>
                <w:szCs w:val="18"/>
                <w:u w:val="none"/>
              </w:rPr>
            </w:pPr>
          </w:p>
        </w:tc>
        <w:tc>
          <w:tcPr>
            <w:tcW w:w="1729" w:type="dxa"/>
            <w:gridSpan w:val="3"/>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shd w:val="clear" w:color="auto" w:fill="auto"/>
          <w:tblCellMar>
            <w:top w:w="0" w:type="dxa"/>
            <w:left w:w="0" w:type="dxa"/>
            <w:bottom w:w="0" w:type="dxa"/>
            <w:right w:w="0" w:type="dxa"/>
          </w:tblCellMar>
        </w:tblPrEx>
        <w:trPr>
          <w:trHeight w:val="250" w:hRule="atLeast"/>
        </w:trPr>
        <w:tc>
          <w:tcPr>
            <w:tcW w:w="3224" w:type="dxa"/>
            <w:gridSpan w:val="5"/>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tabs>
                <w:tab w:val="right" w:pos="4821"/>
              </w:tabs>
              <w:jc w:val="left"/>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编制单位：景德镇市人民政府办公室</w:t>
            </w:r>
            <w:r>
              <w:rPr>
                <w:rFonts w:hint="eastAsia" w:ascii="宋体" w:hAnsi="宋体" w:cs="宋体"/>
                <w:i w:val="0"/>
                <w:color w:val="000000"/>
                <w:kern w:val="0"/>
                <w:sz w:val="18"/>
                <w:szCs w:val="18"/>
                <w:u w:val="none"/>
                <w:lang w:val="en-US" w:eastAsia="zh-CN" w:bidi="ar"/>
              </w:rPr>
              <w:tab/>
            </w:r>
          </w:p>
        </w:tc>
        <w:tc>
          <w:tcPr>
            <w:tcW w:w="2200" w:type="dxa"/>
            <w:gridSpan w:val="3"/>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2019年度</w:t>
            </w:r>
          </w:p>
        </w:tc>
        <w:tc>
          <w:tcPr>
            <w:tcW w:w="619" w:type="dxa"/>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18"/>
                <w:szCs w:val="18"/>
                <w:u w:val="none"/>
              </w:rPr>
            </w:pPr>
          </w:p>
        </w:tc>
        <w:tc>
          <w:tcPr>
            <w:tcW w:w="547" w:type="dxa"/>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18"/>
                <w:szCs w:val="18"/>
                <w:u w:val="none"/>
              </w:rPr>
            </w:pPr>
          </w:p>
        </w:tc>
        <w:tc>
          <w:tcPr>
            <w:tcW w:w="547" w:type="dxa"/>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18"/>
                <w:szCs w:val="18"/>
                <w:u w:val="none"/>
              </w:rPr>
            </w:pPr>
          </w:p>
        </w:tc>
        <w:tc>
          <w:tcPr>
            <w:tcW w:w="1182" w:type="dxa"/>
            <w:gridSpan w:val="2"/>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公开02表</w:t>
            </w:r>
          </w:p>
        </w:tc>
      </w:tr>
      <w:tr>
        <w:tblPrEx>
          <w:shd w:val="clear" w:color="auto" w:fill="auto"/>
          <w:tblCellMar>
            <w:top w:w="0" w:type="dxa"/>
            <w:left w:w="0" w:type="dxa"/>
            <w:bottom w:w="0" w:type="dxa"/>
            <w:right w:w="0" w:type="dxa"/>
          </w:tblCellMar>
        </w:tblPrEx>
        <w:trPr>
          <w:trHeight w:val="308" w:hRule="atLeast"/>
        </w:trPr>
        <w:tc>
          <w:tcPr>
            <w:tcW w:w="2991"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900" w:type="dxa"/>
            <w:gridSpan w:val="2"/>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本年收入合计</w:t>
            </w:r>
          </w:p>
        </w:tc>
        <w:tc>
          <w:tcPr>
            <w:tcW w:w="950" w:type="dxa"/>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财政拨款收入</w:t>
            </w:r>
          </w:p>
        </w:tc>
        <w:tc>
          <w:tcPr>
            <w:tcW w:w="583" w:type="dxa"/>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上级补助收入</w:t>
            </w:r>
          </w:p>
        </w:tc>
        <w:tc>
          <w:tcPr>
            <w:tcW w:w="1166" w:type="dxa"/>
            <w:gridSpan w:val="2"/>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事业收入</w:t>
            </w:r>
          </w:p>
        </w:tc>
        <w:tc>
          <w:tcPr>
            <w:tcW w:w="547" w:type="dxa"/>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经营收入</w:t>
            </w:r>
          </w:p>
        </w:tc>
        <w:tc>
          <w:tcPr>
            <w:tcW w:w="604" w:type="dxa"/>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附属单位上缴收入</w:t>
            </w:r>
          </w:p>
        </w:tc>
        <w:tc>
          <w:tcPr>
            <w:tcW w:w="578" w:type="dxa"/>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其他收入</w:t>
            </w:r>
          </w:p>
        </w:tc>
      </w:tr>
      <w:tr>
        <w:tblPrEx>
          <w:shd w:val="clear" w:color="auto" w:fill="auto"/>
          <w:tblCellMar>
            <w:top w:w="0" w:type="dxa"/>
            <w:left w:w="0" w:type="dxa"/>
            <w:bottom w:w="0" w:type="dxa"/>
            <w:right w:w="0" w:type="dxa"/>
          </w:tblCellMar>
        </w:tblPrEx>
        <w:trPr>
          <w:trHeight w:val="308" w:hRule="atLeast"/>
        </w:trPr>
        <w:tc>
          <w:tcPr>
            <w:tcW w:w="857" w:type="dxa"/>
            <w:gridSpan w:val="3"/>
            <w:vMerge w:val="restart"/>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支出功能分类科目编码</w:t>
            </w:r>
          </w:p>
        </w:tc>
        <w:tc>
          <w:tcPr>
            <w:tcW w:w="2134" w:type="dxa"/>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900" w:type="dxa"/>
            <w:gridSpan w:val="2"/>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950"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583"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619" w:type="dxa"/>
            <w:vMerge w:val="restar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547" w:type="dxa"/>
            <w:vMerge w:val="restar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其中：教育收费</w:t>
            </w:r>
          </w:p>
        </w:tc>
        <w:tc>
          <w:tcPr>
            <w:tcW w:w="547"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604"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08" w:hRule="atLeast"/>
        </w:trPr>
        <w:tc>
          <w:tcPr>
            <w:tcW w:w="857" w:type="dxa"/>
            <w:gridSpan w:val="3"/>
            <w:vMerge w:val="continue"/>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134" w:type="dxa"/>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950"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583"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619" w:type="dxa"/>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547" w:type="dxa"/>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547"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604"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08" w:hRule="atLeast"/>
        </w:trPr>
        <w:tc>
          <w:tcPr>
            <w:tcW w:w="857" w:type="dxa"/>
            <w:gridSpan w:val="3"/>
            <w:vMerge w:val="continue"/>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134" w:type="dxa"/>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950"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583"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619" w:type="dxa"/>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547" w:type="dxa"/>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547"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604"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08" w:hRule="atLeast"/>
        </w:trPr>
        <w:tc>
          <w:tcPr>
            <w:tcW w:w="237" w:type="dxa"/>
            <w:vMerge w:val="restart"/>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237" w:type="dxa"/>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383" w:type="dxa"/>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2134" w:type="dxa"/>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900" w:type="dxa"/>
            <w:gridSpan w:val="2"/>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50" w:type="dxa"/>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83" w:type="dxa"/>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19" w:type="dxa"/>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47" w:type="dxa"/>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47" w:type="dxa"/>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04" w:type="dxa"/>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578" w:type="dxa"/>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r>
      <w:tr>
        <w:tblPrEx>
          <w:shd w:val="clear" w:color="auto" w:fill="auto"/>
          <w:tblCellMar>
            <w:top w:w="0" w:type="dxa"/>
            <w:left w:w="0" w:type="dxa"/>
            <w:bottom w:w="0" w:type="dxa"/>
            <w:right w:w="0" w:type="dxa"/>
          </w:tblCellMar>
        </w:tblPrEx>
        <w:trPr>
          <w:trHeight w:val="323" w:hRule="atLeast"/>
        </w:trPr>
        <w:tc>
          <w:tcPr>
            <w:tcW w:w="237" w:type="dxa"/>
            <w:vMerge w:val="continue"/>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37" w:type="dxa"/>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383" w:type="dxa"/>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134" w:type="dxa"/>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2,693.90</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2,675.58</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18.32</w:t>
            </w:r>
          </w:p>
        </w:tc>
      </w:tr>
      <w:tr>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一般公共服务支出</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2,316.39</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2,298.07</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18.32</w:t>
            </w:r>
          </w:p>
        </w:tc>
      </w:tr>
      <w:tr>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政府办公厅（室）及相关机构事务</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2,315.34</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2,297.02</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18.32</w:t>
            </w:r>
          </w:p>
        </w:tc>
      </w:tr>
      <w:tr>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2010301</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行政运行</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1,845.34</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1,827.02</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18.32</w:t>
            </w:r>
          </w:p>
        </w:tc>
      </w:tr>
      <w:tr>
        <w:tblPrEx>
          <w:shd w:val="clear" w:color="auto" w:fill="auto"/>
          <w:tblCellMar>
            <w:top w:w="0" w:type="dxa"/>
            <w:left w:w="0" w:type="dxa"/>
            <w:bottom w:w="0" w:type="dxa"/>
            <w:right w:w="0" w:type="dxa"/>
          </w:tblCellMar>
        </w:tblPrEx>
        <w:trPr>
          <w:trHeight w:val="420"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2010399</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其他政府办公厅（室）及相关机构事务支出</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470.00</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470.00</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20106</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财政事务</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2010604</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预算改革业务</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189.07</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189.07</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行政事业单位离退休</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176.80</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176.80</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2080504</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未归口管理的行政单位离退休</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31.55</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31.55</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2080505</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145.25</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145.25</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20808</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抚恤</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12.27</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12.27</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2080801</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死亡抚恤</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12.27</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12.27</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卫生健康支出</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104.47</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104.47</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行政事业单位医疗</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104.47</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104.47</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2101101</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行政单位医疗</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71.92</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71.92</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2101103</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公务员医疗补助</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31.10</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31.10</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2101199</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其他行政事业单位医疗支出</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83.98</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83.98</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住房改革支出</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83.98</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83.98</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2210201</w:t>
            </w:r>
          </w:p>
        </w:tc>
        <w:tc>
          <w:tcPr>
            <w:tcW w:w="21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900"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83.98</w:t>
            </w:r>
          </w:p>
        </w:tc>
        <w:tc>
          <w:tcPr>
            <w:tcW w:w="95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83.98</w:t>
            </w:r>
          </w:p>
        </w:tc>
        <w:tc>
          <w:tcPr>
            <w:tcW w:w="5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4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0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8319" w:type="dxa"/>
            <w:gridSpan w:val="1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注：本表反映部门本年度取得的各项收入情况。</w:t>
            </w:r>
          </w:p>
        </w:tc>
      </w:tr>
    </w:tbl>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w:t>
      </w: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tbl>
      <w:tblPr>
        <w:tblStyle w:val="3"/>
        <w:tblW w:w="8360" w:type="dxa"/>
        <w:tblInd w:w="0" w:type="dxa"/>
        <w:shd w:val="clear" w:color="auto" w:fill="auto"/>
        <w:tblLayout w:type="fixed"/>
        <w:tblCellMar>
          <w:top w:w="0" w:type="dxa"/>
          <w:left w:w="0" w:type="dxa"/>
          <w:bottom w:w="0" w:type="dxa"/>
          <w:right w:w="0" w:type="dxa"/>
        </w:tblCellMar>
      </w:tblPr>
      <w:tblGrid>
        <w:gridCol w:w="258"/>
        <w:gridCol w:w="258"/>
        <w:gridCol w:w="259"/>
        <w:gridCol w:w="2816"/>
        <w:gridCol w:w="513"/>
        <w:gridCol w:w="982"/>
        <w:gridCol w:w="371"/>
        <w:gridCol w:w="624"/>
        <w:gridCol w:w="564"/>
        <w:gridCol w:w="576"/>
        <w:gridCol w:w="552"/>
        <w:gridCol w:w="587"/>
      </w:tblGrid>
      <w:tr>
        <w:tblPrEx>
          <w:shd w:val="clear" w:color="auto" w:fill="auto"/>
          <w:tblCellMar>
            <w:top w:w="0" w:type="dxa"/>
            <w:left w:w="0" w:type="dxa"/>
            <w:bottom w:w="0" w:type="dxa"/>
            <w:right w:w="0" w:type="dxa"/>
          </w:tblCellMar>
        </w:tblPrEx>
        <w:trPr>
          <w:trHeight w:val="636" w:hRule="atLeast"/>
        </w:trPr>
        <w:tc>
          <w:tcPr>
            <w:tcW w:w="8360" w:type="dxa"/>
            <w:gridSpan w:val="12"/>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支出决算表</w:t>
            </w:r>
          </w:p>
        </w:tc>
      </w:tr>
      <w:tr>
        <w:tblPrEx>
          <w:shd w:val="clear" w:color="auto" w:fill="auto"/>
          <w:tblCellMar>
            <w:top w:w="0" w:type="dxa"/>
            <w:left w:w="0" w:type="dxa"/>
            <w:bottom w:w="0" w:type="dxa"/>
            <w:right w:w="0" w:type="dxa"/>
          </w:tblCellMar>
        </w:tblPrEx>
        <w:trPr>
          <w:trHeight w:val="378" w:hRule="atLeast"/>
        </w:trPr>
        <w:tc>
          <w:tcPr>
            <w:tcW w:w="258" w:type="dxa"/>
            <w:tcBorders>
              <w:top w:val="nil"/>
              <w:left w:val="nil"/>
              <w:bottom w:val="nil"/>
              <w:right w:val="nil"/>
            </w:tcBorders>
            <w:shd w:val="clear" w:color="auto" w:fill="auto"/>
            <w:noWrap/>
            <w:tcMar>
              <w:top w:w="10" w:type="dxa"/>
              <w:left w:w="10" w:type="dxa"/>
              <w:right w:w="10" w:type="dxa"/>
            </w:tcMar>
            <w:vAlign w:val="bottom"/>
          </w:tcPr>
          <w:p>
            <w:pPr>
              <w:rPr>
                <w:rFonts w:hint="eastAsia" w:ascii="Arial" w:hAnsi="Arial" w:cs="Arial"/>
                <w:i w:val="0"/>
                <w:color w:val="000000"/>
                <w:sz w:val="20"/>
                <w:szCs w:val="20"/>
                <w:u w:val="none"/>
              </w:rPr>
            </w:pPr>
          </w:p>
        </w:tc>
        <w:tc>
          <w:tcPr>
            <w:tcW w:w="258" w:type="dxa"/>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259" w:type="dxa"/>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3329" w:type="dxa"/>
            <w:gridSpan w:val="2"/>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982" w:type="dxa"/>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995" w:type="dxa"/>
            <w:gridSpan w:val="2"/>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564" w:type="dxa"/>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1715" w:type="dxa"/>
            <w:gridSpan w:val="3"/>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434" w:hRule="atLeast"/>
        </w:trPr>
        <w:tc>
          <w:tcPr>
            <w:tcW w:w="3591" w:type="dxa"/>
            <w:gridSpan w:val="4"/>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编制单位：景德镇市人民政府办公室</w:t>
            </w:r>
          </w:p>
        </w:tc>
        <w:tc>
          <w:tcPr>
            <w:tcW w:w="1866" w:type="dxa"/>
            <w:gridSpan w:val="3"/>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2019年度</w:t>
            </w:r>
          </w:p>
        </w:tc>
        <w:tc>
          <w:tcPr>
            <w:tcW w:w="624" w:type="dxa"/>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564" w:type="dxa"/>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576" w:type="dxa"/>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1139" w:type="dxa"/>
            <w:gridSpan w:val="2"/>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shd w:val="clear" w:color="auto" w:fill="auto"/>
          <w:tblCellMar>
            <w:top w:w="0" w:type="dxa"/>
            <w:left w:w="0" w:type="dxa"/>
            <w:bottom w:w="0" w:type="dxa"/>
            <w:right w:w="0" w:type="dxa"/>
          </w:tblCellMar>
        </w:tblPrEx>
        <w:trPr>
          <w:trHeight w:val="333" w:hRule="atLeast"/>
        </w:trPr>
        <w:tc>
          <w:tcPr>
            <w:tcW w:w="4104"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    目</w:t>
            </w:r>
          </w:p>
        </w:tc>
        <w:tc>
          <w:tcPr>
            <w:tcW w:w="982" w:type="dxa"/>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本年支出合计</w:t>
            </w:r>
          </w:p>
        </w:tc>
        <w:tc>
          <w:tcPr>
            <w:tcW w:w="995" w:type="dxa"/>
            <w:gridSpan w:val="2"/>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基本支出</w:t>
            </w:r>
          </w:p>
        </w:tc>
        <w:tc>
          <w:tcPr>
            <w:tcW w:w="564" w:type="dxa"/>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项目支出</w:t>
            </w:r>
          </w:p>
        </w:tc>
        <w:tc>
          <w:tcPr>
            <w:tcW w:w="576" w:type="dxa"/>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上缴上级支出</w:t>
            </w:r>
          </w:p>
        </w:tc>
        <w:tc>
          <w:tcPr>
            <w:tcW w:w="552" w:type="dxa"/>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经营支出</w:t>
            </w:r>
          </w:p>
        </w:tc>
        <w:tc>
          <w:tcPr>
            <w:tcW w:w="587" w:type="dxa"/>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对附属单位补助支出</w:t>
            </w:r>
          </w:p>
        </w:tc>
      </w:tr>
      <w:tr>
        <w:tblPrEx>
          <w:shd w:val="clear" w:color="auto" w:fill="auto"/>
          <w:tblCellMar>
            <w:top w:w="0" w:type="dxa"/>
            <w:left w:w="0" w:type="dxa"/>
            <w:bottom w:w="0" w:type="dxa"/>
            <w:right w:w="0" w:type="dxa"/>
          </w:tblCellMar>
        </w:tblPrEx>
        <w:trPr>
          <w:trHeight w:val="329" w:hRule="atLeast"/>
        </w:trPr>
        <w:tc>
          <w:tcPr>
            <w:tcW w:w="775" w:type="dxa"/>
            <w:gridSpan w:val="3"/>
            <w:vMerge w:val="restart"/>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支出功能分类科目编码</w:t>
            </w:r>
          </w:p>
        </w:tc>
        <w:tc>
          <w:tcPr>
            <w:tcW w:w="3329" w:type="dxa"/>
            <w:gridSpan w:val="2"/>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科目名称</w:t>
            </w:r>
          </w:p>
        </w:tc>
        <w:tc>
          <w:tcPr>
            <w:tcW w:w="982"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995" w:type="dxa"/>
            <w:gridSpan w:val="2"/>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64"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76"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52"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7"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29" w:hRule="atLeast"/>
        </w:trPr>
        <w:tc>
          <w:tcPr>
            <w:tcW w:w="775" w:type="dxa"/>
            <w:gridSpan w:val="3"/>
            <w:vMerge w:val="continue"/>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3329" w:type="dxa"/>
            <w:gridSpan w:val="2"/>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982"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995" w:type="dxa"/>
            <w:gridSpan w:val="2"/>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64"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76"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52"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7"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613" w:hRule="atLeast"/>
        </w:trPr>
        <w:tc>
          <w:tcPr>
            <w:tcW w:w="775" w:type="dxa"/>
            <w:gridSpan w:val="3"/>
            <w:vMerge w:val="continue"/>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3329" w:type="dxa"/>
            <w:gridSpan w:val="2"/>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982"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995" w:type="dxa"/>
            <w:gridSpan w:val="2"/>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64"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76"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52"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7"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33" w:hRule="atLeast"/>
        </w:trPr>
        <w:tc>
          <w:tcPr>
            <w:tcW w:w="258" w:type="dxa"/>
            <w:vMerge w:val="restart"/>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类</w:t>
            </w:r>
          </w:p>
        </w:tc>
        <w:tc>
          <w:tcPr>
            <w:tcW w:w="258" w:type="dxa"/>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款</w:t>
            </w:r>
          </w:p>
        </w:tc>
        <w:tc>
          <w:tcPr>
            <w:tcW w:w="259" w:type="dxa"/>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3329" w:type="dxa"/>
            <w:gridSpan w:val="2"/>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栏次</w:t>
            </w:r>
          </w:p>
        </w:tc>
        <w:tc>
          <w:tcPr>
            <w:tcW w:w="982"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995" w:type="dxa"/>
            <w:gridSpan w:val="2"/>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56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576"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552"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587"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tblPrEx>
          <w:shd w:val="clear" w:color="auto" w:fill="auto"/>
          <w:tblCellMar>
            <w:top w:w="0" w:type="dxa"/>
            <w:left w:w="0" w:type="dxa"/>
            <w:bottom w:w="0" w:type="dxa"/>
            <w:right w:w="0" w:type="dxa"/>
          </w:tblCellMar>
        </w:tblPrEx>
        <w:trPr>
          <w:trHeight w:val="333" w:hRule="atLeast"/>
        </w:trPr>
        <w:tc>
          <w:tcPr>
            <w:tcW w:w="258" w:type="dxa"/>
            <w:vMerge w:val="continue"/>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258" w:type="dxa"/>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259" w:type="dxa"/>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3329" w:type="dxa"/>
            <w:gridSpan w:val="2"/>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2,759.07</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2,759.07</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一般公共服务支出</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2,381.55</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2,381.55</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20103</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政府办公厅（室）及相关机构事务</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2,380.50</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2,380.50</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2010301</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行政运行</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1,910.50</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1,910.50</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2010399</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其他政府办公厅（室）及相关机构事务支出</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470.00</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470.00</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20106</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财政事务</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2010604</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预算改革业务</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社会保障和就业支出</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189.07</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189.07</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20805</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行政事业单位离退休</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176.80</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176.80</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2080504</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未归口管理的行政单位离退休</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31.55</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31.55</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2080505</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机关事业单位基本养老保险缴费支出</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145.25</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145.25</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20808</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抚恤</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12.27</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12.27</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2080801</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死亡抚恤</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12.27</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12.27</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卫生健康支出</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104.47</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104.47</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21011</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行政事业单位医疗</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104.47</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104.47</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2101101</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行政单位医疗</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71.92</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71.92</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2101103</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公务员医疗补助</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31.10</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31.10</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2101199</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其他行政事业单位医疗支出</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1.45</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1.45</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221</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住房保障支出</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83.98</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83.98</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22102</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住房改革支出</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83.98</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83.98</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shd w:val="clear" w:color="auto" w:fill="auto"/>
          <w:tblCellMar>
            <w:top w:w="0" w:type="dxa"/>
            <w:left w:w="0" w:type="dxa"/>
            <w:bottom w:w="0" w:type="dxa"/>
            <w:right w:w="0" w:type="dxa"/>
          </w:tblCellMar>
        </w:tblPrEx>
        <w:trPr>
          <w:trHeight w:val="333" w:hRule="atLeast"/>
        </w:trPr>
        <w:tc>
          <w:tcPr>
            <w:tcW w:w="77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2210201</w:t>
            </w:r>
          </w:p>
        </w:tc>
        <w:tc>
          <w:tcPr>
            <w:tcW w:w="3329"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住房公积金</w:t>
            </w:r>
          </w:p>
        </w:tc>
        <w:tc>
          <w:tcPr>
            <w:tcW w:w="9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83.98</w:t>
            </w:r>
          </w:p>
        </w:tc>
        <w:tc>
          <w:tcPr>
            <w:tcW w:w="995"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83.98</w:t>
            </w:r>
          </w:p>
        </w:tc>
        <w:tc>
          <w:tcPr>
            <w:tcW w:w="56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7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5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shd w:val="clear" w:color="auto" w:fill="auto"/>
          <w:tblCellMar>
            <w:top w:w="0" w:type="dxa"/>
            <w:left w:w="0" w:type="dxa"/>
            <w:bottom w:w="0" w:type="dxa"/>
            <w:right w:w="0" w:type="dxa"/>
          </w:tblCellMar>
        </w:tblPrEx>
        <w:trPr>
          <w:trHeight w:val="343" w:hRule="atLeast"/>
        </w:trPr>
        <w:tc>
          <w:tcPr>
            <w:tcW w:w="8360" w:type="dxa"/>
            <w:gridSpan w:val="1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注：本表反映部门本年度各项支出情况。</w:t>
            </w:r>
          </w:p>
        </w:tc>
      </w:tr>
    </w:tbl>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szCs w:val="30"/>
        </w:rPr>
      </w:pPr>
    </w:p>
    <w:tbl>
      <w:tblPr>
        <w:tblStyle w:val="3"/>
        <w:tblW w:w="8230" w:type="dxa"/>
        <w:tblInd w:w="0" w:type="dxa"/>
        <w:shd w:val="clear" w:color="auto" w:fill="auto"/>
        <w:tblLayout w:type="autofit"/>
        <w:tblCellMar>
          <w:top w:w="0" w:type="dxa"/>
          <w:left w:w="0" w:type="dxa"/>
          <w:bottom w:w="0" w:type="dxa"/>
          <w:right w:w="0" w:type="dxa"/>
        </w:tblCellMar>
      </w:tblPr>
      <w:tblGrid>
        <w:gridCol w:w="2242"/>
        <w:gridCol w:w="363"/>
        <w:gridCol w:w="706"/>
        <w:gridCol w:w="2489"/>
        <w:gridCol w:w="350"/>
        <w:gridCol w:w="785"/>
        <w:gridCol w:w="785"/>
        <w:gridCol w:w="510"/>
      </w:tblGrid>
      <w:tr>
        <w:tblPrEx>
          <w:tblCellMar>
            <w:top w:w="0" w:type="dxa"/>
            <w:left w:w="0" w:type="dxa"/>
            <w:bottom w:w="0" w:type="dxa"/>
            <w:right w:w="0" w:type="dxa"/>
          </w:tblCellMar>
        </w:tblPrEx>
        <w:trPr>
          <w:trHeight w:val="550" w:hRule="atLeast"/>
        </w:trPr>
        <w:tc>
          <w:tcPr>
            <w:tcW w:w="6156" w:type="dxa"/>
            <w:gridSpan w:val="8"/>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财政拨款收入支出决算总表</w:t>
            </w:r>
          </w:p>
        </w:tc>
      </w:tr>
      <w:tr>
        <w:tblPrEx>
          <w:shd w:val="clear" w:color="auto" w:fill="auto"/>
          <w:tblCellMar>
            <w:top w:w="0" w:type="dxa"/>
            <w:left w:w="0" w:type="dxa"/>
            <w:bottom w:w="0" w:type="dxa"/>
            <w:right w:w="0" w:type="dxa"/>
          </w:tblCellMar>
        </w:tblPrEx>
        <w:trPr>
          <w:trHeight w:val="260" w:hRule="atLeast"/>
        </w:trPr>
        <w:tc>
          <w:tcPr>
            <w:tcW w:w="0" w:type="auto"/>
            <w:tcBorders>
              <w:top w:val="nil"/>
              <w:left w:val="nil"/>
              <w:bottom w:val="nil"/>
              <w:right w:val="nil"/>
            </w:tcBorders>
            <w:shd w:val="clear" w:color="auto" w:fill="auto"/>
            <w:noWrap/>
            <w:tcMar>
              <w:top w:w="10" w:type="dxa"/>
              <w:left w:w="10" w:type="dxa"/>
              <w:right w:w="10" w:type="dxa"/>
            </w:tcMar>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0" w:type="auto"/>
            <w:gridSpan w:val="3"/>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260" w:hRule="atLeast"/>
        </w:trPr>
        <w:tc>
          <w:tcPr>
            <w:tcW w:w="0" w:type="auto"/>
            <w:gridSpan w:val="3"/>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编制单位：景德镇市人民政府办公室</w:t>
            </w:r>
          </w:p>
        </w:tc>
        <w:tc>
          <w:tcPr>
            <w:tcW w:w="0" w:type="auto"/>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0" w:type="auto"/>
            <w:gridSpan w:val="2"/>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shd w:val="clear" w:color="auto" w:fill="auto"/>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收     入</w:t>
            </w:r>
          </w:p>
        </w:tc>
        <w:tc>
          <w:tcPr>
            <w:tcW w:w="0" w:type="auto"/>
            <w:gridSpan w:val="5"/>
            <w:tcBorders>
              <w:top w:val="single" w:color="000000" w:sz="4" w:space="0"/>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支     出</w:t>
            </w:r>
          </w:p>
        </w:tc>
      </w:tr>
      <w:tr>
        <w:tblPrEx>
          <w:shd w:val="clear" w:color="auto" w:fill="auto"/>
          <w:tblCellMar>
            <w:top w:w="0" w:type="dxa"/>
            <w:left w:w="0" w:type="dxa"/>
            <w:bottom w:w="0" w:type="dxa"/>
            <w:right w:w="0" w:type="dxa"/>
          </w:tblCellMar>
        </w:tblPrEx>
        <w:trPr>
          <w:trHeight w:val="308" w:hRule="atLeast"/>
        </w:trPr>
        <w:tc>
          <w:tcPr>
            <w:tcW w:w="0" w:type="auto"/>
            <w:vMerge w:val="restart"/>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    目</w:t>
            </w:r>
          </w:p>
        </w:tc>
        <w:tc>
          <w:tcPr>
            <w:tcW w:w="0" w:type="auto"/>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决算数</w:t>
            </w:r>
          </w:p>
        </w:tc>
        <w:tc>
          <w:tcPr>
            <w:tcW w:w="0" w:type="auto"/>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项目（按功能分类）</w:t>
            </w:r>
          </w:p>
        </w:tc>
        <w:tc>
          <w:tcPr>
            <w:tcW w:w="0" w:type="auto"/>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行次</w:t>
            </w:r>
          </w:p>
        </w:tc>
        <w:tc>
          <w:tcPr>
            <w:tcW w:w="0" w:type="auto"/>
            <w:gridSpan w:val="3"/>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决算数</w:t>
            </w:r>
          </w:p>
        </w:tc>
      </w:tr>
      <w:tr>
        <w:tblPrEx>
          <w:shd w:val="clear" w:color="auto" w:fill="auto"/>
          <w:tblCellMar>
            <w:top w:w="0" w:type="dxa"/>
            <w:left w:w="0" w:type="dxa"/>
            <w:bottom w:w="0" w:type="dxa"/>
            <w:right w:w="0" w:type="dxa"/>
          </w:tblCellMar>
        </w:tblPrEx>
        <w:trPr>
          <w:trHeight w:val="585" w:hRule="atLeast"/>
        </w:trPr>
        <w:tc>
          <w:tcPr>
            <w:tcW w:w="0" w:type="auto"/>
            <w:vMerge w:val="continue"/>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hint="eastAsia" w:ascii="宋体" w:hAnsi="宋体" w:eastAsia="宋体" w:cs="宋体"/>
                <w:i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hint="eastAsia" w:ascii="宋体" w:hAnsi="宋体" w:eastAsia="宋体" w:cs="宋体"/>
                <w:i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hint="eastAsia" w:ascii="宋体" w:hAnsi="宋体" w:eastAsia="宋体" w:cs="宋体"/>
                <w:i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hint="eastAsia" w:ascii="宋体" w:hAnsi="宋体" w:eastAsia="宋体" w:cs="宋体"/>
                <w:i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hint="eastAsia" w:ascii="宋体" w:hAnsi="宋体" w:eastAsia="宋体" w:cs="宋体"/>
                <w:i w:val="0"/>
                <w:color w:val="000000"/>
                <w:sz w:val="16"/>
                <w:szCs w:val="16"/>
                <w:u w:val="none"/>
              </w:rPr>
            </w:pPr>
          </w:p>
        </w:tc>
        <w:tc>
          <w:tcPr>
            <w:tcW w:w="785"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小计</w:t>
            </w:r>
          </w:p>
        </w:tc>
        <w:tc>
          <w:tcPr>
            <w:tcW w:w="785"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一般公共预算财政拨款</w:t>
            </w:r>
          </w:p>
        </w:tc>
        <w:tc>
          <w:tcPr>
            <w:tcW w:w="510"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政府性基金预算财政拨款</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栏    次</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栏    次</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2,675.58</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2,363.23</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2,363.23</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189.07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189.07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104.47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104.47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83.98</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83.98</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二十二、其他支出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二十三、债务还本支出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二十四、债务付息支出</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2,675.58</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2,740.75</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2,740.75</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92.79</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27.62</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27.62</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92.79</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2,768.37</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2,768.37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2,768.37</w:t>
            </w:r>
          </w:p>
        </w:tc>
        <w:tc>
          <w:tcPr>
            <w:tcW w:w="0" w:type="auto"/>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gridSpan w:val="8"/>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注：本表反映部门本年度一般公共预算财政拨款和政府性基金预算财政拨款的总收支和年末结转结余情况。</w:t>
            </w:r>
          </w:p>
        </w:tc>
      </w:tr>
    </w:tbl>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p>
    <w:tbl>
      <w:tblPr>
        <w:tblStyle w:val="3"/>
        <w:tblW w:w="8326" w:type="dxa"/>
        <w:tblInd w:w="0" w:type="dxa"/>
        <w:shd w:val="clear" w:color="auto" w:fill="auto"/>
        <w:tblLayout w:type="fixed"/>
        <w:tblCellMar>
          <w:top w:w="0" w:type="dxa"/>
          <w:left w:w="0" w:type="dxa"/>
          <w:bottom w:w="0" w:type="dxa"/>
          <w:right w:w="0" w:type="dxa"/>
        </w:tblCellMar>
      </w:tblPr>
      <w:tblGrid>
        <w:gridCol w:w="485"/>
        <w:gridCol w:w="450"/>
        <w:gridCol w:w="451"/>
        <w:gridCol w:w="3499"/>
        <w:gridCol w:w="1183"/>
        <w:gridCol w:w="1217"/>
        <w:gridCol w:w="1041"/>
      </w:tblGrid>
      <w:tr>
        <w:tblPrEx>
          <w:shd w:val="clear" w:color="auto" w:fill="auto"/>
          <w:tblCellMar>
            <w:top w:w="0" w:type="dxa"/>
            <w:left w:w="0" w:type="dxa"/>
            <w:bottom w:w="0" w:type="dxa"/>
            <w:right w:w="0" w:type="dxa"/>
          </w:tblCellMar>
        </w:tblPrEx>
        <w:trPr>
          <w:trHeight w:val="550" w:hRule="atLeast"/>
        </w:trPr>
        <w:tc>
          <w:tcPr>
            <w:tcW w:w="8326" w:type="dxa"/>
            <w:gridSpan w:val="7"/>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一般公共预算财政拨款支出决算表</w:t>
            </w:r>
          </w:p>
        </w:tc>
      </w:tr>
      <w:tr>
        <w:tblPrEx>
          <w:shd w:val="clear" w:color="auto" w:fill="auto"/>
          <w:tblCellMar>
            <w:top w:w="0" w:type="dxa"/>
            <w:left w:w="0" w:type="dxa"/>
            <w:bottom w:w="0" w:type="dxa"/>
            <w:right w:w="0" w:type="dxa"/>
          </w:tblCellMar>
        </w:tblPrEx>
        <w:trPr>
          <w:trHeight w:val="260" w:hRule="atLeast"/>
        </w:trPr>
        <w:tc>
          <w:tcPr>
            <w:tcW w:w="485" w:type="dxa"/>
            <w:tcBorders>
              <w:top w:val="nil"/>
              <w:left w:val="nil"/>
              <w:bottom w:val="nil"/>
              <w:right w:val="nil"/>
            </w:tcBorders>
            <w:shd w:val="clear" w:color="auto" w:fill="auto"/>
            <w:noWrap/>
            <w:tcMar>
              <w:top w:w="10" w:type="dxa"/>
              <w:left w:w="10" w:type="dxa"/>
              <w:right w:w="10" w:type="dxa"/>
            </w:tcMar>
            <w:vAlign w:val="bottom"/>
          </w:tcPr>
          <w:p>
            <w:pPr>
              <w:rPr>
                <w:rFonts w:hint="eastAsia" w:ascii="Arial" w:hAnsi="Arial" w:cs="Arial"/>
                <w:i w:val="0"/>
                <w:color w:val="000000"/>
                <w:sz w:val="20"/>
                <w:szCs w:val="20"/>
                <w:u w:val="none"/>
              </w:rPr>
            </w:pPr>
          </w:p>
        </w:tc>
        <w:tc>
          <w:tcPr>
            <w:tcW w:w="450" w:type="dxa"/>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451" w:type="dxa"/>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3499" w:type="dxa"/>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1183" w:type="dxa"/>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2258" w:type="dxa"/>
            <w:gridSpan w:val="2"/>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260" w:hRule="atLeast"/>
        </w:trPr>
        <w:tc>
          <w:tcPr>
            <w:tcW w:w="4885" w:type="dxa"/>
            <w:gridSpan w:val="4"/>
            <w:tcBorders>
              <w:top w:val="nil"/>
              <w:left w:val="nil"/>
              <w:bottom w:val="nil"/>
              <w:right w:val="nil"/>
            </w:tcBorders>
            <w:shd w:val="clear" w:color="auto" w:fill="auto"/>
            <w:noWrap/>
            <w:tcMar>
              <w:top w:w="10" w:type="dxa"/>
              <w:left w:w="10" w:type="dxa"/>
              <w:right w:w="10" w:type="dxa"/>
            </w:tcMar>
            <w:vAlign w:val="bottom"/>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编制单位：景德镇市人民政府办公室</w:t>
            </w:r>
          </w:p>
        </w:tc>
        <w:tc>
          <w:tcPr>
            <w:tcW w:w="1183" w:type="dxa"/>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2258" w:type="dxa"/>
            <w:gridSpan w:val="2"/>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公开05表 </w:t>
            </w:r>
          </w:p>
        </w:tc>
      </w:tr>
      <w:tr>
        <w:tblPrEx>
          <w:shd w:val="clear" w:color="auto" w:fill="auto"/>
          <w:tblCellMar>
            <w:top w:w="0" w:type="dxa"/>
            <w:left w:w="0" w:type="dxa"/>
            <w:bottom w:w="0" w:type="dxa"/>
            <w:right w:w="0" w:type="dxa"/>
          </w:tblCellMar>
        </w:tblPrEx>
        <w:trPr>
          <w:trHeight w:val="308" w:hRule="atLeast"/>
        </w:trPr>
        <w:tc>
          <w:tcPr>
            <w:tcW w:w="4885"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183" w:type="dxa"/>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217" w:type="dxa"/>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041" w:type="dxa"/>
            <w:vMerge w:val="restart"/>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shd w:val="clear" w:color="auto" w:fill="auto"/>
          <w:tblCellMar>
            <w:top w:w="0" w:type="dxa"/>
            <w:left w:w="0" w:type="dxa"/>
            <w:bottom w:w="0" w:type="dxa"/>
            <w:right w:w="0" w:type="dxa"/>
          </w:tblCellMar>
        </w:tblPrEx>
        <w:trPr>
          <w:trHeight w:val="308" w:hRule="atLeast"/>
        </w:trPr>
        <w:tc>
          <w:tcPr>
            <w:tcW w:w="1386" w:type="dxa"/>
            <w:gridSpan w:val="3"/>
            <w:vMerge w:val="restart"/>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支出功能分类科目编码</w:t>
            </w:r>
          </w:p>
        </w:tc>
        <w:tc>
          <w:tcPr>
            <w:tcW w:w="3499" w:type="dxa"/>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83"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217"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41"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trPr>
        <w:tc>
          <w:tcPr>
            <w:tcW w:w="1386" w:type="dxa"/>
            <w:gridSpan w:val="3"/>
            <w:vMerge w:val="continue"/>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9" w:type="dxa"/>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83"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217"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41"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trPr>
        <w:tc>
          <w:tcPr>
            <w:tcW w:w="1386" w:type="dxa"/>
            <w:gridSpan w:val="3"/>
            <w:vMerge w:val="continue"/>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9" w:type="dxa"/>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83"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217"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41" w:type="dxa"/>
            <w:vMerge w:val="continue"/>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trPr>
        <w:tc>
          <w:tcPr>
            <w:tcW w:w="485" w:type="dxa"/>
            <w:vMerge w:val="restart"/>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类</w:t>
            </w:r>
          </w:p>
        </w:tc>
        <w:tc>
          <w:tcPr>
            <w:tcW w:w="450" w:type="dxa"/>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款</w:t>
            </w:r>
          </w:p>
        </w:tc>
        <w:tc>
          <w:tcPr>
            <w:tcW w:w="451" w:type="dxa"/>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3499" w:type="dxa"/>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83" w:type="dxa"/>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17" w:type="dxa"/>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41" w:type="dxa"/>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308" w:hRule="atLeast"/>
        </w:trPr>
        <w:tc>
          <w:tcPr>
            <w:tcW w:w="485" w:type="dxa"/>
            <w:vMerge w:val="continue"/>
            <w:tcBorders>
              <w:top w:val="nil"/>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450" w:type="dxa"/>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451" w:type="dxa"/>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9" w:type="dxa"/>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2,740.75</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2,740.75</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一般公共服务支出</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2,363.23</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2,363.23</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政府办公厅（室）及相关机构事务</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2,362.18</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2,362.18</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2010301</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1,892.18</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1,892.18</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2010399</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其他政府办公厅（室）及相关机构事务支出</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470.00</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470.00</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20106</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财政事务</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2010604</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预算改革业务</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社会保障和就业支出</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189.07</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189.07</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行政事业单位离退休</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176.80</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176.80</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2080504</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未归口管理的行政单位离退休</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31.55</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31.55</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145.25</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145.25</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抚恤</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12.27</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12.27</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12.27</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12.27</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卫生健康支出</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104.47</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104.47</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行政事业单位医疗</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104.47</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104.47</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2101101</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71.92</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71.92</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2101103</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31.10</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31.10</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2101199</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其他行政事业单位医疗支出</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住房保障支出</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83.98</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83.98</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住房改革支出</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83.98</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83.98</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86"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3499"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1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83.98</w:t>
            </w:r>
          </w:p>
        </w:tc>
        <w:tc>
          <w:tcPr>
            <w:tcW w:w="12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83.98</w:t>
            </w:r>
          </w:p>
        </w:tc>
        <w:tc>
          <w:tcPr>
            <w:tcW w:w="104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8326" w:type="dxa"/>
            <w:gridSpan w:val="7"/>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szCs w:val="30"/>
        </w:rPr>
      </w:pPr>
    </w:p>
    <w:tbl>
      <w:tblPr>
        <w:tblStyle w:val="3"/>
        <w:tblW w:w="8300" w:type="dxa"/>
        <w:tblInd w:w="0" w:type="dxa"/>
        <w:shd w:val="clear" w:color="auto" w:fill="auto"/>
        <w:tblLayout w:type="autofit"/>
        <w:tblCellMar>
          <w:top w:w="0" w:type="dxa"/>
          <w:left w:w="0" w:type="dxa"/>
          <w:bottom w:w="0" w:type="dxa"/>
          <w:right w:w="0" w:type="dxa"/>
        </w:tblCellMar>
      </w:tblPr>
      <w:tblGrid>
        <w:gridCol w:w="514"/>
        <w:gridCol w:w="1624"/>
        <w:gridCol w:w="626"/>
        <w:gridCol w:w="514"/>
        <w:gridCol w:w="1624"/>
        <w:gridCol w:w="626"/>
        <w:gridCol w:w="514"/>
        <w:gridCol w:w="1624"/>
        <w:gridCol w:w="634"/>
      </w:tblGrid>
      <w:tr>
        <w:tblPrEx>
          <w:shd w:val="clear" w:color="auto" w:fill="auto"/>
          <w:tblCellMar>
            <w:top w:w="0" w:type="dxa"/>
            <w:left w:w="0" w:type="dxa"/>
            <w:bottom w:w="0" w:type="dxa"/>
            <w:right w:w="0" w:type="dxa"/>
          </w:tblCellMar>
        </w:tblPrEx>
        <w:trPr>
          <w:trHeight w:val="634" w:hRule="atLeast"/>
        </w:trPr>
        <w:tc>
          <w:tcPr>
            <w:tcW w:w="8300" w:type="dxa"/>
            <w:gridSpan w:val="9"/>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4"/>
                <w:szCs w:val="44"/>
                <w:u w:val="none"/>
                <w:lang w:val="en-US" w:eastAsia="zh-CN" w:bidi="ar"/>
              </w:rPr>
              <w:t>一般公共预算财政拨款基本支出决算表</w:t>
            </w:r>
          </w:p>
        </w:tc>
      </w:tr>
      <w:tr>
        <w:tblPrEx>
          <w:shd w:val="clear" w:color="auto" w:fill="auto"/>
          <w:tblCellMar>
            <w:top w:w="0" w:type="dxa"/>
            <w:left w:w="0" w:type="dxa"/>
            <w:bottom w:w="0" w:type="dxa"/>
            <w:right w:w="0" w:type="dxa"/>
          </w:tblCellMar>
        </w:tblPrEx>
        <w:trPr>
          <w:trHeight w:val="322" w:hRule="atLeast"/>
        </w:trPr>
        <w:tc>
          <w:tcPr>
            <w:tcW w:w="0" w:type="auto"/>
            <w:tcBorders>
              <w:top w:val="nil"/>
              <w:left w:val="nil"/>
              <w:bottom w:val="nil"/>
              <w:right w:val="nil"/>
            </w:tcBorders>
            <w:shd w:val="clear" w:color="auto" w:fill="auto"/>
            <w:noWrap/>
            <w:tcMar>
              <w:top w:w="10" w:type="dxa"/>
              <w:left w:w="10" w:type="dxa"/>
              <w:right w:w="10" w:type="dxa"/>
            </w:tcMar>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0" w:type="auto"/>
            <w:gridSpan w:val="2"/>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22" w:hRule="atLeast"/>
        </w:trPr>
        <w:tc>
          <w:tcPr>
            <w:tcW w:w="0" w:type="auto"/>
            <w:gridSpan w:val="4"/>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编制单位：景德镇市人民政府办公室</w:t>
            </w:r>
          </w:p>
        </w:tc>
        <w:tc>
          <w:tcPr>
            <w:tcW w:w="0" w:type="auto"/>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0" w:type="auto"/>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公开06表</w:t>
            </w:r>
          </w:p>
        </w:tc>
      </w:tr>
      <w:tr>
        <w:tblPrEx>
          <w:shd w:val="clear" w:color="auto" w:fill="auto"/>
          <w:tblCellMar>
            <w:top w:w="0" w:type="dxa"/>
            <w:left w:w="0" w:type="dxa"/>
            <w:bottom w:w="0" w:type="dxa"/>
            <w:right w:w="0" w:type="dxa"/>
          </w:tblCellMar>
        </w:tblPrEx>
        <w:trPr>
          <w:trHeight w:val="332" w:hRule="atLeast"/>
        </w:trPr>
        <w:tc>
          <w:tcPr>
            <w:tcW w:w="2764" w:type="dxa"/>
            <w:gridSpan w:val="3"/>
            <w:tcBorders>
              <w:top w:val="single" w:color="000000" w:sz="4" w:space="0"/>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人员经费</w:t>
            </w:r>
          </w:p>
        </w:tc>
        <w:tc>
          <w:tcPr>
            <w:tcW w:w="5536" w:type="dxa"/>
            <w:gridSpan w:val="6"/>
            <w:tcBorders>
              <w:top w:val="single" w:color="000000" w:sz="4" w:space="0"/>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公用经费</w:t>
            </w:r>
          </w:p>
        </w:tc>
      </w:tr>
      <w:tr>
        <w:tblPrEx>
          <w:shd w:val="clear" w:color="auto" w:fill="auto"/>
          <w:tblCellMar>
            <w:top w:w="0" w:type="dxa"/>
            <w:left w:w="0" w:type="dxa"/>
            <w:bottom w:w="0" w:type="dxa"/>
            <w:right w:w="0" w:type="dxa"/>
          </w:tblCellMar>
        </w:tblPrEx>
        <w:trPr>
          <w:trHeight w:val="644"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经济分类科目编码</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科目名称</w:t>
            </w:r>
          </w:p>
        </w:tc>
        <w:tc>
          <w:tcPr>
            <w:tcW w:w="626"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金额</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经济分类科目编码</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科目名称</w:t>
            </w:r>
          </w:p>
        </w:tc>
        <w:tc>
          <w:tcPr>
            <w:tcW w:w="626"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金额</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经济分类科目编码</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科目名称</w:t>
            </w:r>
          </w:p>
        </w:tc>
        <w:tc>
          <w:tcPr>
            <w:tcW w:w="63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1"/>
                <w:szCs w:val="11"/>
                <w:u w:val="none"/>
              </w:rPr>
            </w:pPr>
            <w:r>
              <w:rPr>
                <w:rFonts w:hint="eastAsia" w:ascii="宋体" w:hAnsi="宋体" w:eastAsia="宋体" w:cs="宋体"/>
                <w:i w:val="0"/>
                <w:color w:val="000000"/>
                <w:kern w:val="0"/>
                <w:sz w:val="11"/>
                <w:szCs w:val="11"/>
                <w:u w:val="none"/>
                <w:lang w:val="en-US" w:eastAsia="zh-CN" w:bidi="ar"/>
              </w:rPr>
              <w:t>金额</w:t>
            </w:r>
          </w:p>
        </w:tc>
      </w:tr>
      <w:tr>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301</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工资福利支出</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1,368.19</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302</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商品和服务支出</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461.81</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307</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债务利息及费用支出</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30101</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基本工资</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453.27</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30201</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办公费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52.69</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30701</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国内债务付息</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30102</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津贴补贴</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348.98</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30202</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印刷费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28.96</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30702</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国外债务付息</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30103</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奖金</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87.19</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30203</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咨询费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23.15</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30703</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国内债务发行费用</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30106</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伙食补助费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3.53</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30204</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手续费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0.07</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30704</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国外债务发行费用</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30107</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绩效工资</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30205</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水费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3.66</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310</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资本性支出</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65.64</w:t>
            </w:r>
          </w:p>
        </w:tc>
      </w:tr>
      <w:tr>
        <w:tblPrEx>
          <w:shd w:val="clear" w:color="auto" w:fill="auto"/>
          <w:tblCellMar>
            <w:top w:w="0" w:type="dxa"/>
            <w:left w:w="0" w:type="dxa"/>
            <w:bottom w:w="0" w:type="dxa"/>
            <w:right w:w="0" w:type="dxa"/>
          </w:tblCellMar>
        </w:tblPrEx>
        <w:trPr>
          <w:trHeight w:val="644"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30108</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机关事业单位基本养老保险缴费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159.45</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30206</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电费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31001</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房屋建筑物购建</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30109</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职业年金缴费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8.98</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30207</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邮电费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14.31</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31002</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办公设备购置</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65.00</w:t>
            </w:r>
          </w:p>
        </w:tc>
      </w:tr>
      <w:tr>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30110</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职工基本医疗保险缴费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74.85</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30208</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取暖费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10.46</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31003</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专用设备购置</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30111</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公务员医疗补助缴款</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30209</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物业管理费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31005</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基础设施建设</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30112</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其他社会保障缴费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8.19</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30211</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差旅费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71.23</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31006</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大型修缮</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30113</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住房公积金</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144.50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30212</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因公出国（境）费用</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31007</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信息网络及软件购置更新</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30114</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医疗费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7.77</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30213</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维修（护）费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29.42</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31008</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物资储备</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30199</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其他工资福利支出</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71.49</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30214</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租赁费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2.40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31009</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土地补偿</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303</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对个人和家庭的补助</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845.10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30215</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会议费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2.20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31010</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安置补助</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30301</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离休费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38.89</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30216</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培训费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1.78</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310111</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地上附着物和青苗补偿</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30302</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退休费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3.16</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30217</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公务接待费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0.72</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31012</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拆迁补偿</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30303</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退职（役）费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30218</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专用材料费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31013</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公务用车购置</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30304</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抚恤金</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12.27</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30224</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被装购置费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31019</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其他交通工具购置</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30305</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生活补贴</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30225</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专用燃料费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31021</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文物和陈列品购置</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30306</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救济费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30226</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劳务费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30.05</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31022</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无形资产购置</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30307</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医疗费补助</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30227</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委托业务费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31099</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其他资本性支出</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0.64</w:t>
            </w:r>
          </w:p>
        </w:tc>
      </w:tr>
      <w:tr>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30308</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助学金</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30228</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工会经费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36.97</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312</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对企业补助</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30309</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奖励金</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665.23</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30229</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福利费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31201</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资本金注入</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30310</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个人农业生产补贴</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30231</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公务用车运行维护费</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19.00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31203</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政府投资基金股权投资</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shd w:val="clear" w:color="auto" w:fill="auto"/>
          <w:tblCellMar>
            <w:top w:w="0" w:type="dxa"/>
            <w:left w:w="0" w:type="dxa"/>
            <w:bottom w:w="0" w:type="dxa"/>
            <w:right w:w="0" w:type="dxa"/>
          </w:tblCellMar>
        </w:tblPrEx>
        <w:trPr>
          <w:trHeight w:val="644"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30399</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其他对个人和家庭的补助支出</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125.56</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30239</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其他交通费用</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77.78</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31204</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费用补贴</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jc w:val="left"/>
              <w:rPr>
                <w:rFonts w:hint="eastAsia" w:ascii="宋体" w:hAnsi="宋体" w:eastAsia="宋体" w:cs="宋体"/>
                <w:i w:val="0"/>
                <w:color w:val="000000"/>
                <w:sz w:val="12"/>
                <w:szCs w:val="12"/>
                <w:u w:val="none"/>
              </w:rPr>
            </w:pP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left"/>
              <w:rPr>
                <w:rFonts w:hint="eastAsia" w:ascii="宋体" w:hAnsi="宋体" w:eastAsia="宋体" w:cs="宋体"/>
                <w:i w:val="0"/>
                <w:color w:val="000000"/>
                <w:sz w:val="12"/>
                <w:szCs w:val="12"/>
                <w:u w:val="none"/>
              </w:rPr>
            </w:pP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jc w:val="right"/>
              <w:rPr>
                <w:rFonts w:hint="eastAsia" w:ascii="宋体" w:hAnsi="宋体" w:eastAsia="宋体" w:cs="宋体"/>
                <w:i w:val="0"/>
                <w:color w:val="000000"/>
                <w:sz w:val="12"/>
                <w:szCs w:val="12"/>
                <w:u w:val="none"/>
              </w:rPr>
            </w:pP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30240</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税金及附加费用</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31205</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利息补贴</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jc w:val="left"/>
              <w:rPr>
                <w:rFonts w:hint="eastAsia" w:ascii="宋体" w:hAnsi="宋体" w:eastAsia="宋体" w:cs="宋体"/>
                <w:i w:val="0"/>
                <w:color w:val="000000"/>
                <w:sz w:val="12"/>
                <w:szCs w:val="12"/>
                <w:u w:val="none"/>
              </w:rPr>
            </w:pP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left"/>
              <w:rPr>
                <w:rFonts w:hint="eastAsia" w:ascii="宋体" w:hAnsi="宋体" w:eastAsia="宋体" w:cs="宋体"/>
                <w:i w:val="0"/>
                <w:color w:val="000000"/>
                <w:sz w:val="12"/>
                <w:szCs w:val="12"/>
                <w:u w:val="none"/>
              </w:rPr>
            </w:pP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jc w:val="right"/>
              <w:rPr>
                <w:rFonts w:hint="eastAsia" w:ascii="宋体" w:hAnsi="宋体" w:eastAsia="宋体" w:cs="宋体"/>
                <w:i w:val="0"/>
                <w:color w:val="000000"/>
                <w:sz w:val="12"/>
                <w:szCs w:val="12"/>
                <w:u w:val="none"/>
              </w:rPr>
            </w:pP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30299</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其他商品和服务支出</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49.96</w:t>
            </w: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31299</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其他对企业补助</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jc w:val="left"/>
              <w:rPr>
                <w:rFonts w:hint="eastAsia" w:ascii="宋体" w:hAnsi="宋体" w:eastAsia="宋体" w:cs="宋体"/>
                <w:i w:val="0"/>
                <w:color w:val="000000"/>
                <w:sz w:val="12"/>
                <w:szCs w:val="12"/>
                <w:u w:val="none"/>
              </w:rPr>
            </w:pP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left"/>
              <w:rPr>
                <w:rFonts w:hint="eastAsia" w:ascii="宋体" w:hAnsi="宋体" w:eastAsia="宋体" w:cs="宋体"/>
                <w:i w:val="0"/>
                <w:color w:val="000000"/>
                <w:sz w:val="12"/>
                <w:szCs w:val="12"/>
                <w:u w:val="none"/>
              </w:rPr>
            </w:pP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jc w:val="right"/>
              <w:rPr>
                <w:rFonts w:hint="eastAsia" w:ascii="宋体" w:hAnsi="宋体" w:eastAsia="宋体" w:cs="宋体"/>
                <w:i w:val="0"/>
                <w:color w:val="000000"/>
                <w:sz w:val="12"/>
                <w:szCs w:val="12"/>
                <w:u w:val="none"/>
              </w:rPr>
            </w:pP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left"/>
              <w:rPr>
                <w:rFonts w:hint="eastAsia" w:ascii="宋体" w:hAnsi="宋体" w:eastAsia="宋体" w:cs="宋体"/>
                <w:i w:val="0"/>
                <w:color w:val="000000"/>
                <w:sz w:val="12"/>
                <w:szCs w:val="12"/>
                <w:u w:val="none"/>
              </w:rPr>
            </w:pP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left"/>
              <w:rPr>
                <w:rFonts w:hint="eastAsia" w:ascii="宋体" w:hAnsi="宋体" w:eastAsia="宋体" w:cs="宋体"/>
                <w:i w:val="0"/>
                <w:color w:val="000000"/>
                <w:sz w:val="12"/>
                <w:szCs w:val="12"/>
                <w:u w:val="none"/>
              </w:rPr>
            </w:pP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jc w:val="right"/>
              <w:rPr>
                <w:rFonts w:hint="eastAsia" w:ascii="宋体" w:hAnsi="宋体" w:eastAsia="宋体" w:cs="宋体"/>
                <w:i w:val="0"/>
                <w:color w:val="000000"/>
                <w:sz w:val="12"/>
                <w:szCs w:val="12"/>
                <w:u w:val="none"/>
              </w:rPr>
            </w:pP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399</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其他支出</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shd w:val="clear" w:color="auto" w:fill="auto"/>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jc w:val="left"/>
              <w:rPr>
                <w:rFonts w:hint="eastAsia" w:ascii="宋体" w:hAnsi="宋体" w:eastAsia="宋体" w:cs="宋体"/>
                <w:i w:val="0"/>
                <w:color w:val="000000"/>
                <w:sz w:val="12"/>
                <w:szCs w:val="12"/>
                <w:u w:val="none"/>
              </w:rPr>
            </w:pP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left"/>
              <w:rPr>
                <w:rFonts w:hint="eastAsia" w:ascii="宋体" w:hAnsi="宋体" w:eastAsia="宋体" w:cs="宋体"/>
                <w:i w:val="0"/>
                <w:color w:val="000000"/>
                <w:sz w:val="12"/>
                <w:szCs w:val="12"/>
                <w:u w:val="none"/>
              </w:rPr>
            </w:pP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jc w:val="right"/>
              <w:rPr>
                <w:rFonts w:hint="eastAsia" w:ascii="宋体" w:hAnsi="宋体" w:eastAsia="宋体" w:cs="宋体"/>
                <w:i w:val="0"/>
                <w:color w:val="000000"/>
                <w:sz w:val="12"/>
                <w:szCs w:val="12"/>
                <w:u w:val="none"/>
              </w:rPr>
            </w:pP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left"/>
              <w:rPr>
                <w:rFonts w:hint="eastAsia" w:ascii="宋体" w:hAnsi="宋体" w:eastAsia="宋体" w:cs="宋体"/>
                <w:i w:val="0"/>
                <w:color w:val="000000"/>
                <w:sz w:val="12"/>
                <w:szCs w:val="12"/>
                <w:u w:val="none"/>
              </w:rPr>
            </w:pP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left"/>
              <w:rPr>
                <w:rFonts w:hint="eastAsia" w:ascii="宋体" w:hAnsi="宋体" w:eastAsia="宋体" w:cs="宋体"/>
                <w:i w:val="0"/>
                <w:color w:val="000000"/>
                <w:sz w:val="12"/>
                <w:szCs w:val="12"/>
                <w:u w:val="none"/>
              </w:rPr>
            </w:pP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jc w:val="right"/>
              <w:rPr>
                <w:rFonts w:hint="eastAsia" w:ascii="宋体" w:hAnsi="宋体" w:eastAsia="宋体" w:cs="宋体"/>
                <w:i w:val="0"/>
                <w:color w:val="000000"/>
                <w:sz w:val="12"/>
                <w:szCs w:val="12"/>
                <w:u w:val="none"/>
              </w:rPr>
            </w:pP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39906</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赠与</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jc w:val="left"/>
              <w:rPr>
                <w:rFonts w:hint="eastAsia" w:ascii="宋体" w:hAnsi="宋体" w:eastAsia="宋体" w:cs="宋体"/>
                <w:i w:val="0"/>
                <w:color w:val="000000"/>
                <w:sz w:val="12"/>
                <w:szCs w:val="12"/>
                <w:u w:val="none"/>
              </w:rPr>
            </w:pP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left"/>
              <w:rPr>
                <w:rFonts w:hint="eastAsia" w:ascii="宋体" w:hAnsi="宋体" w:eastAsia="宋体" w:cs="宋体"/>
                <w:i w:val="0"/>
                <w:color w:val="000000"/>
                <w:sz w:val="12"/>
                <w:szCs w:val="12"/>
                <w:u w:val="none"/>
              </w:rPr>
            </w:pP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jc w:val="right"/>
              <w:rPr>
                <w:rFonts w:hint="eastAsia" w:ascii="宋体" w:hAnsi="宋体" w:eastAsia="宋体" w:cs="宋体"/>
                <w:i w:val="0"/>
                <w:color w:val="000000"/>
                <w:sz w:val="12"/>
                <w:szCs w:val="12"/>
                <w:u w:val="none"/>
              </w:rPr>
            </w:pP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left"/>
              <w:rPr>
                <w:rFonts w:hint="eastAsia" w:ascii="宋体" w:hAnsi="宋体" w:eastAsia="宋体" w:cs="宋体"/>
                <w:i w:val="0"/>
                <w:color w:val="000000"/>
                <w:sz w:val="12"/>
                <w:szCs w:val="12"/>
                <w:u w:val="none"/>
              </w:rPr>
            </w:pP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left"/>
              <w:rPr>
                <w:rFonts w:hint="eastAsia" w:ascii="宋体" w:hAnsi="宋体" w:eastAsia="宋体" w:cs="宋体"/>
                <w:i w:val="0"/>
                <w:color w:val="000000"/>
                <w:sz w:val="12"/>
                <w:szCs w:val="12"/>
                <w:u w:val="none"/>
              </w:rPr>
            </w:pP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jc w:val="right"/>
              <w:rPr>
                <w:rFonts w:hint="eastAsia" w:ascii="宋体" w:hAnsi="宋体" w:eastAsia="宋体" w:cs="宋体"/>
                <w:i w:val="0"/>
                <w:color w:val="000000"/>
                <w:sz w:val="12"/>
                <w:szCs w:val="12"/>
                <w:u w:val="none"/>
              </w:rPr>
            </w:pP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39907</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国家赔偿费用支出</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shd w:val="clear" w:color="auto" w:fill="auto"/>
          <w:tblCellMar>
            <w:top w:w="0" w:type="dxa"/>
            <w:left w:w="0" w:type="dxa"/>
            <w:bottom w:w="0" w:type="dxa"/>
            <w:right w:w="0" w:type="dxa"/>
          </w:tblCellMar>
        </w:tblPrEx>
        <w:trPr>
          <w:trHeight w:val="644"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jc w:val="left"/>
              <w:rPr>
                <w:rFonts w:hint="eastAsia" w:ascii="宋体" w:hAnsi="宋体" w:eastAsia="宋体" w:cs="宋体"/>
                <w:i w:val="0"/>
                <w:color w:val="000000"/>
                <w:sz w:val="12"/>
                <w:szCs w:val="12"/>
                <w:u w:val="none"/>
              </w:rPr>
            </w:pP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left"/>
              <w:rPr>
                <w:rFonts w:hint="eastAsia" w:ascii="宋体" w:hAnsi="宋体" w:eastAsia="宋体" w:cs="宋体"/>
                <w:i w:val="0"/>
                <w:color w:val="000000"/>
                <w:sz w:val="12"/>
                <w:szCs w:val="12"/>
                <w:u w:val="none"/>
              </w:rPr>
            </w:pP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jc w:val="right"/>
              <w:rPr>
                <w:rFonts w:hint="eastAsia" w:ascii="宋体" w:hAnsi="宋体" w:eastAsia="宋体" w:cs="宋体"/>
                <w:i w:val="0"/>
                <w:color w:val="000000"/>
                <w:sz w:val="12"/>
                <w:szCs w:val="12"/>
                <w:u w:val="none"/>
              </w:rPr>
            </w:pP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left"/>
              <w:rPr>
                <w:rFonts w:hint="eastAsia" w:ascii="宋体" w:hAnsi="宋体" w:eastAsia="宋体" w:cs="宋体"/>
                <w:i w:val="0"/>
                <w:color w:val="000000"/>
                <w:sz w:val="12"/>
                <w:szCs w:val="12"/>
                <w:u w:val="none"/>
              </w:rPr>
            </w:pP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left"/>
              <w:rPr>
                <w:rFonts w:hint="eastAsia" w:ascii="宋体" w:hAnsi="宋体" w:eastAsia="宋体" w:cs="宋体"/>
                <w:i w:val="0"/>
                <w:color w:val="000000"/>
                <w:sz w:val="12"/>
                <w:szCs w:val="12"/>
                <w:u w:val="none"/>
              </w:rPr>
            </w:pP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jc w:val="right"/>
              <w:rPr>
                <w:rFonts w:hint="eastAsia" w:ascii="宋体" w:hAnsi="宋体" w:eastAsia="宋体" w:cs="宋体"/>
                <w:i w:val="0"/>
                <w:color w:val="000000"/>
                <w:sz w:val="12"/>
                <w:szCs w:val="12"/>
                <w:u w:val="none"/>
              </w:rPr>
            </w:pP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39908</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对民间非营利组织和群众性自治组织补贴</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tblCellMar>
            <w:top w:w="0" w:type="dxa"/>
            <w:left w:w="0" w:type="dxa"/>
            <w:bottom w:w="0" w:type="dxa"/>
            <w:right w:w="0" w:type="dxa"/>
          </w:tblCellMar>
        </w:tblPrEx>
        <w:trPr>
          <w:trHeight w:val="332" w:hRule="atLeast"/>
        </w:trPr>
        <w:tc>
          <w:tcPr>
            <w:tcW w:w="514" w:type="dxa"/>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jc w:val="left"/>
              <w:rPr>
                <w:rFonts w:hint="eastAsia" w:ascii="宋体" w:hAnsi="宋体" w:eastAsia="宋体" w:cs="宋体"/>
                <w:i w:val="0"/>
                <w:color w:val="000000"/>
                <w:sz w:val="12"/>
                <w:szCs w:val="12"/>
                <w:u w:val="none"/>
              </w:rPr>
            </w:pP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left"/>
              <w:rPr>
                <w:rFonts w:hint="eastAsia" w:ascii="宋体" w:hAnsi="宋体" w:eastAsia="宋体" w:cs="宋体"/>
                <w:i w:val="0"/>
                <w:color w:val="000000"/>
                <w:sz w:val="12"/>
                <w:szCs w:val="12"/>
                <w:u w:val="none"/>
              </w:rPr>
            </w:pP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jc w:val="right"/>
              <w:rPr>
                <w:rFonts w:hint="eastAsia" w:ascii="宋体" w:hAnsi="宋体" w:eastAsia="宋体" w:cs="宋体"/>
                <w:i w:val="0"/>
                <w:color w:val="000000"/>
                <w:sz w:val="12"/>
                <w:szCs w:val="12"/>
                <w:u w:val="none"/>
              </w:rPr>
            </w:pP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left"/>
              <w:rPr>
                <w:rFonts w:hint="eastAsia" w:ascii="宋体" w:hAnsi="宋体" w:eastAsia="宋体" w:cs="宋体"/>
                <w:i w:val="0"/>
                <w:color w:val="000000"/>
                <w:sz w:val="12"/>
                <w:szCs w:val="12"/>
                <w:u w:val="none"/>
              </w:rPr>
            </w:pP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left"/>
              <w:rPr>
                <w:rFonts w:hint="eastAsia" w:ascii="宋体" w:hAnsi="宋体" w:eastAsia="宋体" w:cs="宋体"/>
                <w:i w:val="0"/>
                <w:color w:val="000000"/>
                <w:sz w:val="12"/>
                <w:szCs w:val="12"/>
                <w:u w:val="none"/>
              </w:rPr>
            </w:pP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jc w:val="right"/>
              <w:rPr>
                <w:rFonts w:hint="eastAsia" w:ascii="宋体" w:hAnsi="宋体" w:eastAsia="宋体" w:cs="宋体"/>
                <w:i w:val="0"/>
                <w:color w:val="000000"/>
                <w:sz w:val="12"/>
                <w:szCs w:val="12"/>
                <w:u w:val="none"/>
              </w:rPr>
            </w:pPr>
          </w:p>
        </w:tc>
        <w:tc>
          <w:tcPr>
            <w:tcW w:w="51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39999</w:t>
            </w:r>
          </w:p>
        </w:tc>
        <w:tc>
          <w:tcPr>
            <w:tcW w:w="1624" w:type="dxa"/>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其他支出</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0.00</w:t>
            </w:r>
          </w:p>
        </w:tc>
      </w:tr>
      <w:tr>
        <w:tblPrEx>
          <w:shd w:val="clear" w:color="auto" w:fill="auto"/>
          <w:tblCellMar>
            <w:top w:w="0" w:type="dxa"/>
            <w:left w:w="0" w:type="dxa"/>
            <w:bottom w:w="0" w:type="dxa"/>
            <w:right w:w="0" w:type="dxa"/>
          </w:tblCellMar>
        </w:tblPrEx>
        <w:trPr>
          <w:trHeight w:val="332" w:hRule="atLeast"/>
        </w:trPr>
        <w:tc>
          <w:tcPr>
            <w:tcW w:w="2138" w:type="dxa"/>
            <w:gridSpan w:val="2"/>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人员经费合计</w:t>
            </w:r>
          </w:p>
        </w:tc>
        <w:tc>
          <w:tcPr>
            <w:tcW w:w="62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2,213.30</w:t>
            </w:r>
          </w:p>
        </w:tc>
        <w:tc>
          <w:tcPr>
            <w:tcW w:w="4902" w:type="dxa"/>
            <w:gridSpan w:val="5"/>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公用支出合计</w:t>
            </w:r>
          </w:p>
        </w:tc>
        <w:tc>
          <w:tcPr>
            <w:tcW w:w="634"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527.45</w:t>
            </w:r>
          </w:p>
        </w:tc>
      </w:tr>
      <w:tr>
        <w:tblPrEx>
          <w:shd w:val="clear" w:color="auto" w:fill="auto"/>
          <w:tblCellMar>
            <w:top w:w="0" w:type="dxa"/>
            <w:left w:w="0" w:type="dxa"/>
            <w:bottom w:w="0" w:type="dxa"/>
            <w:right w:w="0" w:type="dxa"/>
          </w:tblCellMar>
        </w:tblPrEx>
        <w:trPr>
          <w:trHeight w:val="342" w:hRule="atLeast"/>
        </w:trPr>
        <w:tc>
          <w:tcPr>
            <w:tcW w:w="8300" w:type="dxa"/>
            <w:gridSpan w:val="9"/>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5"/>
                <w:szCs w:val="15"/>
                <w:u w:val="none"/>
                <w:lang w:val="en-US" w:eastAsia="zh-CN" w:bidi="ar"/>
              </w:rPr>
              <w:t>注：本表反映部门本年度一般公共预算财政拨款基本支出明细情况。</w:t>
            </w:r>
          </w:p>
        </w:tc>
      </w:tr>
    </w:tbl>
    <w:p>
      <w:pPr>
        <w:autoSpaceDE w:val="0"/>
        <w:autoSpaceDN w:val="0"/>
        <w:adjustRightInd w:val="0"/>
        <w:spacing w:line="360" w:lineRule="auto"/>
        <w:jc w:val="left"/>
        <w:rPr>
          <w:rFonts w:hint="eastAsia"/>
          <w:szCs w:val="30"/>
        </w:rPr>
      </w:pPr>
    </w:p>
    <w:tbl>
      <w:tblPr>
        <w:tblStyle w:val="3"/>
        <w:tblW w:w="8190" w:type="dxa"/>
        <w:tblInd w:w="0" w:type="dxa"/>
        <w:shd w:val="clear" w:color="auto" w:fill="auto"/>
        <w:tblLayout w:type="autofit"/>
        <w:tblCellMar>
          <w:top w:w="0" w:type="dxa"/>
          <w:left w:w="0" w:type="dxa"/>
          <w:bottom w:w="0" w:type="dxa"/>
          <w:right w:w="0" w:type="dxa"/>
        </w:tblCellMar>
      </w:tblPr>
      <w:tblGrid>
        <w:gridCol w:w="4165"/>
        <w:gridCol w:w="1032"/>
        <w:gridCol w:w="1326"/>
        <w:gridCol w:w="1678"/>
      </w:tblGrid>
      <w:tr>
        <w:tblPrEx>
          <w:shd w:val="clear" w:color="auto" w:fill="auto"/>
          <w:tblCellMar>
            <w:top w:w="0" w:type="dxa"/>
            <w:left w:w="0" w:type="dxa"/>
            <w:bottom w:w="0" w:type="dxa"/>
            <w:right w:w="0" w:type="dxa"/>
          </w:tblCellMar>
        </w:tblPrEx>
        <w:trPr>
          <w:trHeight w:val="450" w:hRule="atLeast"/>
        </w:trPr>
        <w:tc>
          <w:tcPr>
            <w:tcW w:w="8201"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一般公共预算财政拨款“三公”经费支出决算表</w:t>
            </w:r>
          </w:p>
        </w:tc>
      </w:tr>
      <w:tr>
        <w:tblPrEx>
          <w:shd w:val="clear" w:color="auto" w:fill="auto"/>
          <w:tblCellMar>
            <w:top w:w="0" w:type="dxa"/>
            <w:left w:w="0" w:type="dxa"/>
            <w:bottom w:w="0" w:type="dxa"/>
            <w:right w:w="0" w:type="dxa"/>
          </w:tblCellMar>
        </w:tblPrEx>
        <w:trPr>
          <w:trHeight w:val="255"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255"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编制单位：景德镇市人民政府办公室</w:t>
            </w: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shd w:val="clear" w:color="auto" w:fill="auto"/>
          <w:tblCellMar>
            <w:top w:w="0" w:type="dxa"/>
            <w:left w:w="0" w:type="dxa"/>
            <w:bottom w:w="0" w:type="dxa"/>
            <w:right w:w="0"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0" w:type="auto"/>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0" w:type="auto"/>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一、“三公”经费支出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127.95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19.72</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1.因公出国（境）费</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2.公务用车购置及运行维护费</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62.95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（1）公务用车购置费</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（2）公务用车运行维护费</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62.95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3.公务接待费</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0.72</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（1）国内接待费</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0.72</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其中：外事接待费</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（2）国（境）外接待费</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二、相关统计数</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1.因公出国（境）团组数（个）</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2.因公出国（境）人次数（人）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3.公务用车购置数（辆）</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4.公务用车保有量（辆）</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5.国内公务接待批次（个）</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其中：外事接待批次（个）</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6.国内公务接待人次（人）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其中：外事接待人次（人）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7.国（境）外公务接待批次（个）</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8.国（境）外公务接待人次（人）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shd w:val="clear" w:color="auto" w:fill="auto"/>
          <w:tblCellMar>
            <w:top w:w="0" w:type="dxa"/>
            <w:left w:w="0" w:type="dxa"/>
            <w:bottom w:w="0" w:type="dxa"/>
            <w:right w:w="0" w:type="dxa"/>
          </w:tblCellMar>
        </w:tblPrEx>
        <w:trPr>
          <w:trHeight w:val="308" w:hRule="atLeast"/>
        </w:trPr>
        <w:tc>
          <w:tcPr>
            <w:tcW w:w="8201" w:type="dxa"/>
            <w:gridSpan w:val="4"/>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注：本表反映部门本年度“三公”经费支出预决算情况。其中：预算数为批复的年初预算数，不包含以前年度结转的资金；决算数是包括当年一般公共预算财政拨款和以前年度结转资金安排的实际支出。</w:t>
            </w:r>
          </w:p>
        </w:tc>
      </w:tr>
      <w:tr>
        <w:tblPrEx>
          <w:shd w:val="clear" w:color="auto" w:fill="auto"/>
          <w:tblCellMar>
            <w:top w:w="0" w:type="dxa"/>
            <w:left w:w="0" w:type="dxa"/>
            <w:bottom w:w="0" w:type="dxa"/>
            <w:right w:w="0" w:type="dxa"/>
          </w:tblCellMar>
        </w:tblPrEx>
        <w:trPr>
          <w:trHeight w:val="523" w:hRule="atLeast"/>
        </w:trPr>
        <w:tc>
          <w:tcPr>
            <w:tcW w:w="8201" w:type="dxa"/>
            <w:gridSpan w:val="4"/>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7960" cy="2297430"/>
            <wp:effectExtent l="0" t="0" r="5080" b="381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4"/>
                    <a:stretch>
                      <a:fillRect/>
                    </a:stretch>
                  </pic:blipFill>
                  <pic:spPr>
                    <a:xfrm>
                      <a:off x="0" y="0"/>
                      <a:ext cx="5267960" cy="2297430"/>
                    </a:xfrm>
                    <a:prstGeom prst="rect">
                      <a:avLst/>
                    </a:prstGeom>
                    <a:noFill/>
                    <a:ln>
                      <a:noFill/>
                    </a:ln>
                  </pic:spPr>
                </pic:pic>
              </a:graphicData>
            </a:graphic>
          </wp:inline>
        </w:drawing>
      </w:r>
    </w:p>
    <w:tbl>
      <w:tblPr>
        <w:tblStyle w:val="3"/>
        <w:tblW w:w="8256" w:type="dxa"/>
        <w:tblInd w:w="0" w:type="dxa"/>
        <w:shd w:val="clear" w:color="auto" w:fill="auto"/>
        <w:tblLayout w:type="fixed"/>
        <w:tblCellMar>
          <w:top w:w="0" w:type="dxa"/>
          <w:left w:w="0" w:type="dxa"/>
          <w:bottom w:w="0" w:type="dxa"/>
          <w:right w:w="0" w:type="dxa"/>
        </w:tblCellMar>
      </w:tblPr>
      <w:tblGrid>
        <w:gridCol w:w="5894"/>
        <w:gridCol w:w="243"/>
        <w:gridCol w:w="600"/>
        <w:gridCol w:w="1519"/>
      </w:tblGrid>
      <w:tr>
        <w:tblPrEx>
          <w:shd w:val="clear" w:color="auto" w:fill="auto"/>
          <w:tblCellMar>
            <w:top w:w="0" w:type="dxa"/>
            <w:left w:w="0" w:type="dxa"/>
            <w:bottom w:w="0" w:type="dxa"/>
            <w:right w:w="0" w:type="dxa"/>
          </w:tblCellMar>
        </w:tblPrEx>
        <w:trPr>
          <w:trHeight w:val="540" w:hRule="atLeast"/>
        </w:trPr>
        <w:tc>
          <w:tcPr>
            <w:tcW w:w="8256"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国有资产占用情况表</w:t>
            </w:r>
          </w:p>
        </w:tc>
      </w:tr>
      <w:tr>
        <w:tblPrEx>
          <w:shd w:val="clear" w:color="auto" w:fill="auto"/>
          <w:tblCellMar>
            <w:top w:w="0" w:type="dxa"/>
            <w:left w:w="0" w:type="dxa"/>
            <w:bottom w:w="0" w:type="dxa"/>
            <w:right w:w="0" w:type="dxa"/>
          </w:tblCellMar>
        </w:tblPrEx>
        <w:trPr>
          <w:trHeight w:val="255" w:hRule="atLeast"/>
        </w:trPr>
        <w:tc>
          <w:tcPr>
            <w:tcW w:w="6137" w:type="dxa"/>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60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519"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5" w:hRule="atLeast"/>
        </w:trPr>
        <w:tc>
          <w:tcPr>
            <w:tcW w:w="6737"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编制单位：景德镇市人民政府办公室   </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2019年度</w:t>
            </w:r>
          </w:p>
        </w:tc>
        <w:tc>
          <w:tcPr>
            <w:tcW w:w="1519"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shd w:val="clear" w:color="auto" w:fill="auto"/>
          <w:tblCellMar>
            <w:top w:w="0" w:type="dxa"/>
            <w:left w:w="0" w:type="dxa"/>
            <w:bottom w:w="0" w:type="dxa"/>
            <w:right w:w="0" w:type="dxa"/>
          </w:tblCellMar>
        </w:tblPrEx>
        <w:trPr>
          <w:trHeight w:val="308" w:hRule="atLeast"/>
        </w:trPr>
        <w:tc>
          <w:tcPr>
            <w:tcW w:w="589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84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51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shd w:val="clear" w:color="auto" w:fill="auto"/>
          <w:tblCellMar>
            <w:top w:w="0" w:type="dxa"/>
            <w:left w:w="0" w:type="dxa"/>
            <w:bottom w:w="0" w:type="dxa"/>
            <w:right w:w="0" w:type="dxa"/>
          </w:tblCellMar>
        </w:tblPrEx>
        <w:trPr>
          <w:trHeight w:val="308" w:hRule="atLeast"/>
        </w:trPr>
        <w:tc>
          <w:tcPr>
            <w:tcW w:w="589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一、车辆数合计(台、辆)</w:t>
            </w:r>
          </w:p>
        </w:tc>
        <w:tc>
          <w:tcPr>
            <w:tcW w:w="843"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308" w:hRule="atLeast"/>
        </w:trPr>
        <w:tc>
          <w:tcPr>
            <w:tcW w:w="589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1.副部（省）级及以上领导用车</w:t>
            </w:r>
          </w:p>
        </w:tc>
        <w:tc>
          <w:tcPr>
            <w:tcW w:w="843"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589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2.主要领导干部用车</w:t>
            </w:r>
          </w:p>
        </w:tc>
        <w:tc>
          <w:tcPr>
            <w:tcW w:w="843"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shd w:val="clear" w:color="auto" w:fill="auto"/>
          <w:tblCellMar>
            <w:top w:w="0" w:type="dxa"/>
            <w:left w:w="0" w:type="dxa"/>
            <w:bottom w:w="0" w:type="dxa"/>
            <w:right w:w="0" w:type="dxa"/>
          </w:tblCellMar>
        </w:tblPrEx>
        <w:trPr>
          <w:trHeight w:val="308" w:hRule="atLeast"/>
        </w:trPr>
        <w:tc>
          <w:tcPr>
            <w:tcW w:w="589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3.机要通信用车</w:t>
            </w:r>
          </w:p>
        </w:tc>
        <w:tc>
          <w:tcPr>
            <w:tcW w:w="843"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589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4.应急保障用车</w:t>
            </w:r>
          </w:p>
        </w:tc>
        <w:tc>
          <w:tcPr>
            <w:tcW w:w="843"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589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5.执法执勤用车</w:t>
            </w:r>
          </w:p>
        </w:tc>
        <w:tc>
          <w:tcPr>
            <w:tcW w:w="843"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589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6.特种专业技术用车</w:t>
            </w:r>
          </w:p>
        </w:tc>
        <w:tc>
          <w:tcPr>
            <w:tcW w:w="843"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trHeight w:val="308" w:hRule="atLeast"/>
        </w:trPr>
        <w:tc>
          <w:tcPr>
            <w:tcW w:w="589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7.离退休干部用车</w:t>
            </w:r>
          </w:p>
        </w:tc>
        <w:tc>
          <w:tcPr>
            <w:tcW w:w="843"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589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8.其他用车</w:t>
            </w:r>
          </w:p>
        </w:tc>
        <w:tc>
          <w:tcPr>
            <w:tcW w:w="843"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5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5894" w:type="dxa"/>
            <w:tcBorders>
              <w:top w:val="nil"/>
              <w:left w:val="single" w:color="000000" w:sz="4" w:space="0"/>
              <w:bottom w:val="nil"/>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二、单价50万元（含）以上通用设备（台，套）</w:t>
            </w:r>
          </w:p>
        </w:tc>
        <w:tc>
          <w:tcPr>
            <w:tcW w:w="843" w:type="dxa"/>
            <w:gridSpan w:val="2"/>
            <w:tcBorders>
              <w:top w:val="nil"/>
              <w:left w:val="nil"/>
              <w:bottom w:val="nil"/>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19" w:type="dxa"/>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shd w:val="clear" w:color="auto" w:fill="auto"/>
          <w:tblCellMar>
            <w:top w:w="0" w:type="dxa"/>
            <w:left w:w="0" w:type="dxa"/>
            <w:bottom w:w="0" w:type="dxa"/>
            <w:right w:w="0" w:type="dxa"/>
          </w:tblCellMar>
        </w:tblPrEx>
        <w:trPr>
          <w:trHeight w:val="308" w:hRule="atLeast"/>
        </w:trPr>
        <w:tc>
          <w:tcPr>
            <w:tcW w:w="589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三、单价100万元（含）以上专用设备（台，套）</w:t>
            </w:r>
          </w:p>
        </w:tc>
        <w:tc>
          <w:tcPr>
            <w:tcW w:w="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trHeight w:val="308" w:hRule="atLeast"/>
        </w:trPr>
        <w:tc>
          <w:tcPr>
            <w:tcW w:w="825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注：本表反映截止</w:t>
            </w:r>
            <w:r>
              <w:rPr>
                <w:rStyle w:val="7"/>
                <w:rFonts w:eastAsia="宋体"/>
                <w:lang w:val="en-US" w:eastAsia="zh-CN" w:bidi="ar"/>
              </w:rPr>
              <w:t>2019</w:t>
            </w:r>
            <w:r>
              <w:rPr>
                <w:rStyle w:val="8"/>
                <w:lang w:val="en-US" w:eastAsia="zh-CN" w:bidi="ar"/>
              </w:rPr>
              <w:t>年</w:t>
            </w:r>
            <w:r>
              <w:rPr>
                <w:rStyle w:val="7"/>
                <w:rFonts w:eastAsia="宋体"/>
                <w:lang w:val="en-US" w:eastAsia="zh-CN" w:bidi="ar"/>
              </w:rPr>
              <w:t>12</w:t>
            </w:r>
            <w:r>
              <w:rPr>
                <w:rStyle w:val="8"/>
                <w:lang w:val="en-US" w:eastAsia="zh-CN" w:bidi="ar"/>
              </w:rPr>
              <w:t>月</w:t>
            </w:r>
            <w:r>
              <w:rPr>
                <w:rStyle w:val="7"/>
                <w:rFonts w:eastAsia="宋体"/>
                <w:lang w:val="en-US" w:eastAsia="zh-CN" w:bidi="ar"/>
              </w:rPr>
              <w:t>31</w:t>
            </w:r>
            <w:r>
              <w:rPr>
                <w:rStyle w:val="8"/>
                <w:lang w:val="en-US" w:eastAsia="zh-CN" w:bidi="ar"/>
              </w:rPr>
              <w:t>日，部门占用的国有资产情况。</w:t>
            </w:r>
          </w:p>
        </w:tc>
      </w:tr>
    </w:tbl>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2786.69</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92.79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增加82.37</w:t>
      </w:r>
      <w:r>
        <w:rPr>
          <w:rFonts w:hint="eastAsia" w:ascii="仿宋" w:hAnsi="仿宋" w:eastAsia="仿宋"/>
          <w:sz w:val="30"/>
          <w:szCs w:val="30"/>
        </w:rPr>
        <w:t>万元，增长</w:t>
      </w:r>
      <w:r>
        <w:rPr>
          <w:rFonts w:hint="eastAsia" w:ascii="仿宋" w:hAnsi="仿宋" w:eastAsia="仿宋"/>
          <w:sz w:val="30"/>
          <w:szCs w:val="30"/>
          <w:lang w:val="en-US" w:eastAsia="zh-CN"/>
        </w:rPr>
        <w:t>790.50</w:t>
      </w:r>
      <w:r>
        <w:rPr>
          <w:rFonts w:hint="eastAsia" w:ascii="仿宋" w:hAnsi="仿宋" w:eastAsia="仿宋"/>
          <w:sz w:val="30"/>
          <w:szCs w:val="30"/>
        </w:rPr>
        <w:t>%；本年收入合计</w:t>
      </w:r>
      <w:r>
        <w:rPr>
          <w:rFonts w:hint="eastAsia" w:ascii="仿宋" w:hAnsi="仿宋" w:eastAsia="仿宋"/>
          <w:sz w:val="30"/>
          <w:szCs w:val="30"/>
          <w:lang w:val="en-US" w:eastAsia="zh-CN"/>
        </w:rPr>
        <w:t>2693.9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585.22</w:t>
      </w:r>
      <w:r>
        <w:rPr>
          <w:rFonts w:hint="eastAsia" w:ascii="仿宋" w:hAnsi="仿宋" w:eastAsia="仿宋"/>
          <w:sz w:val="30"/>
          <w:szCs w:val="30"/>
        </w:rPr>
        <w:t>万元，下降</w:t>
      </w:r>
      <w:r>
        <w:rPr>
          <w:rFonts w:hint="eastAsia" w:ascii="仿宋" w:hAnsi="仿宋" w:eastAsia="仿宋"/>
          <w:sz w:val="30"/>
          <w:szCs w:val="30"/>
          <w:lang w:val="en-US" w:eastAsia="zh-CN"/>
        </w:rPr>
        <w:t>17.85</w:t>
      </w:r>
      <w:r>
        <w:rPr>
          <w:rFonts w:hint="eastAsia" w:ascii="仿宋" w:hAnsi="仿宋" w:eastAsia="仿宋"/>
          <w:sz w:val="30"/>
          <w:szCs w:val="30"/>
        </w:rPr>
        <w:t>%，主要原因是：</w:t>
      </w:r>
      <w:r>
        <w:rPr>
          <w:rFonts w:hint="eastAsia" w:ascii="仿宋" w:hAnsi="仿宋" w:eastAsia="仿宋"/>
          <w:sz w:val="30"/>
          <w:szCs w:val="30"/>
          <w:highlight w:val="none"/>
          <w:lang w:eastAsia="zh-CN"/>
        </w:rPr>
        <w:t>上年度完成建设应急指挥中心项目</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2675.58</w:t>
      </w:r>
      <w:r>
        <w:rPr>
          <w:rFonts w:hint="eastAsia" w:ascii="仿宋" w:hAnsi="仿宋" w:eastAsia="仿宋"/>
          <w:sz w:val="30"/>
          <w:szCs w:val="30"/>
        </w:rPr>
        <w:t>万元，占</w:t>
      </w:r>
      <w:r>
        <w:rPr>
          <w:rFonts w:hint="eastAsia" w:ascii="仿宋" w:hAnsi="仿宋" w:eastAsia="仿宋"/>
          <w:sz w:val="30"/>
          <w:szCs w:val="30"/>
          <w:lang w:val="en-US" w:eastAsia="zh-CN"/>
        </w:rPr>
        <w:t>99.32</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18.32</w:t>
      </w:r>
      <w:r>
        <w:rPr>
          <w:rFonts w:hint="eastAsia" w:ascii="仿宋" w:hAnsi="仿宋" w:eastAsia="仿宋"/>
          <w:sz w:val="30"/>
          <w:szCs w:val="30"/>
        </w:rPr>
        <w:t>万元，占</w:t>
      </w:r>
      <w:r>
        <w:rPr>
          <w:rFonts w:hint="eastAsia" w:ascii="仿宋" w:hAnsi="仿宋" w:eastAsia="仿宋"/>
          <w:sz w:val="30"/>
          <w:szCs w:val="30"/>
          <w:lang w:val="en-US" w:eastAsia="zh-CN"/>
        </w:rPr>
        <w:t>0.68</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2786.69</w:t>
      </w:r>
      <w:r>
        <w:rPr>
          <w:rFonts w:hint="eastAsia" w:ascii="仿宋" w:hAnsi="仿宋" w:eastAsia="仿宋"/>
          <w:sz w:val="30"/>
          <w:szCs w:val="30"/>
        </w:rPr>
        <w:t>万元，其中本年支出合计</w:t>
      </w:r>
      <w:r>
        <w:rPr>
          <w:rFonts w:hint="eastAsia" w:ascii="仿宋" w:hAnsi="仿宋" w:eastAsia="仿宋"/>
          <w:sz w:val="30"/>
          <w:szCs w:val="30"/>
          <w:lang w:val="en-US" w:eastAsia="zh-CN"/>
        </w:rPr>
        <w:t>2759.07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减少</w:t>
      </w:r>
      <w:r>
        <w:rPr>
          <w:rFonts w:hint="eastAsia" w:ascii="仿宋" w:hAnsi="仿宋" w:eastAsia="仿宋"/>
          <w:sz w:val="30"/>
          <w:szCs w:val="30"/>
          <w:lang w:val="en-US" w:eastAsia="zh-CN"/>
        </w:rPr>
        <w:t>437.5</w:t>
      </w:r>
      <w:r>
        <w:rPr>
          <w:rFonts w:hint="eastAsia" w:ascii="仿宋" w:hAnsi="仿宋" w:eastAsia="仿宋"/>
          <w:sz w:val="30"/>
          <w:szCs w:val="30"/>
        </w:rPr>
        <w:t>万元，下降</w:t>
      </w:r>
      <w:r>
        <w:rPr>
          <w:rFonts w:hint="eastAsia" w:ascii="仿宋" w:hAnsi="仿宋" w:eastAsia="仿宋"/>
          <w:sz w:val="30"/>
          <w:szCs w:val="30"/>
          <w:lang w:val="en-US" w:eastAsia="zh-CN"/>
        </w:rPr>
        <w:t>13.69</w:t>
      </w:r>
      <w:r>
        <w:rPr>
          <w:rFonts w:hint="eastAsia" w:ascii="仿宋" w:hAnsi="仿宋" w:eastAsia="仿宋"/>
          <w:sz w:val="30"/>
          <w:szCs w:val="30"/>
        </w:rPr>
        <w:t>%，主要原因是：</w:t>
      </w:r>
      <w:r>
        <w:rPr>
          <w:rFonts w:hint="eastAsia" w:ascii="仿宋" w:hAnsi="仿宋" w:eastAsia="仿宋"/>
          <w:sz w:val="30"/>
          <w:szCs w:val="30"/>
          <w:highlight w:val="none"/>
          <w:lang w:eastAsia="zh-CN"/>
        </w:rPr>
        <w:t>上年度完成建设应急指挥中心项目</w:t>
      </w:r>
      <w:r>
        <w:rPr>
          <w:rFonts w:hint="eastAsia" w:ascii="仿宋" w:hAnsi="仿宋" w:eastAsia="仿宋"/>
          <w:sz w:val="30"/>
          <w:szCs w:val="30"/>
        </w:rPr>
        <w:t>；年末结转和结余</w:t>
      </w:r>
      <w:r>
        <w:rPr>
          <w:rFonts w:hint="eastAsia" w:ascii="仿宋" w:hAnsi="仿宋" w:eastAsia="仿宋"/>
          <w:sz w:val="30"/>
          <w:szCs w:val="30"/>
          <w:lang w:val="en-US" w:eastAsia="zh-CN"/>
        </w:rPr>
        <w:t>27.62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65.17</w:t>
      </w:r>
      <w:r>
        <w:rPr>
          <w:rFonts w:hint="eastAsia" w:ascii="仿宋" w:hAnsi="仿宋" w:eastAsia="仿宋"/>
          <w:sz w:val="30"/>
          <w:szCs w:val="30"/>
        </w:rPr>
        <w:t>万元，下降</w:t>
      </w:r>
      <w:r>
        <w:rPr>
          <w:rFonts w:hint="eastAsia" w:ascii="仿宋" w:hAnsi="仿宋" w:eastAsia="仿宋"/>
          <w:sz w:val="30"/>
          <w:szCs w:val="30"/>
          <w:lang w:val="en-US" w:eastAsia="zh-CN"/>
        </w:rPr>
        <w:t>70.23</w:t>
      </w:r>
      <w:r>
        <w:rPr>
          <w:rFonts w:hint="eastAsia" w:ascii="仿宋" w:hAnsi="仿宋" w:eastAsia="仿宋"/>
          <w:sz w:val="30"/>
          <w:szCs w:val="30"/>
        </w:rPr>
        <w:t>%，主要原因是：</w:t>
      </w:r>
      <w:r>
        <w:rPr>
          <w:rFonts w:hint="eastAsia" w:ascii="仿宋" w:hAnsi="仿宋" w:eastAsia="仿宋"/>
          <w:sz w:val="30"/>
          <w:szCs w:val="30"/>
          <w:lang w:val="en-US" w:eastAsia="zh-CN"/>
        </w:rPr>
        <w:t>消化上年度结余结转资金</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2759.07</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%；项目支出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2060</w:t>
      </w:r>
      <w:r>
        <w:rPr>
          <w:rFonts w:hint="eastAsia" w:ascii="仿宋" w:hAnsi="仿宋" w:eastAsia="仿宋"/>
          <w:sz w:val="30"/>
          <w:szCs w:val="30"/>
        </w:rPr>
        <w:t>万元，决算数为</w:t>
      </w:r>
      <w:r>
        <w:rPr>
          <w:rFonts w:hint="eastAsia" w:ascii="仿宋" w:hAnsi="仿宋" w:eastAsia="仿宋"/>
          <w:sz w:val="30"/>
          <w:szCs w:val="30"/>
          <w:lang w:val="en-US" w:eastAsia="zh-CN"/>
        </w:rPr>
        <w:t>2740.75</w:t>
      </w:r>
      <w:r>
        <w:rPr>
          <w:rFonts w:hint="eastAsia" w:ascii="仿宋" w:hAnsi="仿宋" w:eastAsia="仿宋"/>
          <w:sz w:val="30"/>
          <w:szCs w:val="30"/>
        </w:rPr>
        <w:t>万元，完成年初预算的</w:t>
      </w:r>
      <w:r>
        <w:rPr>
          <w:rFonts w:hint="eastAsia" w:ascii="仿宋" w:hAnsi="仿宋" w:eastAsia="仿宋"/>
          <w:sz w:val="30"/>
          <w:szCs w:val="30"/>
          <w:lang w:val="en-US" w:eastAsia="zh-CN"/>
        </w:rPr>
        <w:t>133.05</w:t>
      </w:r>
      <w:r>
        <w:rPr>
          <w:rFonts w:hint="eastAsia" w:ascii="仿宋" w:hAnsi="仿宋" w:eastAsia="仿宋"/>
          <w:sz w:val="30"/>
          <w:szCs w:val="30"/>
        </w:rPr>
        <w:t>%。其中：</w:t>
      </w:r>
    </w:p>
    <w:p>
      <w:pPr>
        <w:numPr>
          <w:ilvl w:val="0"/>
          <w:numId w:val="3"/>
        </w:numPr>
        <w:ind w:firstLine="630"/>
        <w:jc w:val="left"/>
        <w:rPr>
          <w:rFonts w:hint="eastAsia" w:ascii="仿宋" w:hAnsi="仿宋" w:eastAsia="仿宋"/>
          <w:sz w:val="30"/>
          <w:szCs w:val="30"/>
        </w:rPr>
      </w:pPr>
      <w:r>
        <w:rPr>
          <w:rFonts w:hint="eastAsia" w:ascii="仿宋" w:hAnsi="仿宋" w:eastAsia="仿宋"/>
          <w:sz w:val="30"/>
          <w:szCs w:val="30"/>
        </w:rPr>
        <w:t>一般公共服务支出年初预算数为</w:t>
      </w:r>
      <w:r>
        <w:rPr>
          <w:rFonts w:hint="eastAsia" w:ascii="仿宋" w:hAnsi="仿宋" w:eastAsia="仿宋"/>
          <w:sz w:val="30"/>
          <w:szCs w:val="30"/>
          <w:lang w:val="en-US" w:eastAsia="zh-CN"/>
        </w:rPr>
        <w:t>1662.75</w:t>
      </w:r>
      <w:r>
        <w:rPr>
          <w:rFonts w:hint="eastAsia" w:ascii="仿宋" w:hAnsi="仿宋" w:eastAsia="仿宋"/>
          <w:sz w:val="30"/>
          <w:szCs w:val="30"/>
        </w:rPr>
        <w:t>万元，决算数为</w:t>
      </w:r>
      <w:r>
        <w:rPr>
          <w:rFonts w:hint="eastAsia" w:ascii="仿宋" w:hAnsi="仿宋" w:eastAsia="仿宋"/>
          <w:sz w:val="30"/>
          <w:szCs w:val="30"/>
          <w:lang w:val="en-US" w:eastAsia="zh-CN"/>
        </w:rPr>
        <w:t>2363.23</w:t>
      </w:r>
      <w:r>
        <w:rPr>
          <w:rFonts w:hint="eastAsia" w:ascii="仿宋" w:hAnsi="仿宋" w:eastAsia="仿宋"/>
          <w:sz w:val="30"/>
          <w:szCs w:val="30"/>
        </w:rPr>
        <w:t>万元，完成年初预算的</w:t>
      </w:r>
      <w:r>
        <w:rPr>
          <w:rFonts w:hint="eastAsia" w:ascii="仿宋" w:hAnsi="仿宋" w:eastAsia="仿宋"/>
          <w:sz w:val="30"/>
          <w:szCs w:val="30"/>
          <w:lang w:val="en-US" w:eastAsia="zh-CN"/>
        </w:rPr>
        <w:t>142.13</w:t>
      </w:r>
      <w:r>
        <w:rPr>
          <w:rFonts w:hint="eastAsia" w:ascii="仿宋" w:hAnsi="仿宋" w:eastAsia="仿宋"/>
          <w:sz w:val="30"/>
          <w:szCs w:val="30"/>
        </w:rPr>
        <w:t>%，主要原因是：</w:t>
      </w:r>
      <w:r>
        <w:rPr>
          <w:rFonts w:hint="eastAsia" w:ascii="仿宋" w:hAnsi="仿宋" w:eastAsia="仿宋"/>
          <w:sz w:val="30"/>
          <w:szCs w:val="30"/>
          <w:lang w:eastAsia="zh-CN"/>
        </w:rPr>
        <w:t>追加</w:t>
      </w:r>
      <w:r>
        <w:rPr>
          <w:rFonts w:hint="eastAsia" w:eastAsia="仿宋_GB2312"/>
          <w:sz w:val="32"/>
          <w:szCs w:val="32"/>
        </w:rPr>
        <w:t>行政事业单位人员调资</w:t>
      </w:r>
      <w:r>
        <w:rPr>
          <w:rFonts w:hint="eastAsia" w:eastAsia="仿宋_GB2312"/>
          <w:sz w:val="32"/>
          <w:szCs w:val="32"/>
          <w:lang w:eastAsia="zh-CN"/>
        </w:rPr>
        <w:t>等</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_GB2312" w:hAnsi="华文细黑" w:eastAsia="仿宋_GB2312" w:cs="宋体"/>
          <w:color w:val="000000"/>
          <w:kern w:val="0"/>
          <w:sz w:val="28"/>
          <w:szCs w:val="28"/>
        </w:rPr>
        <w:t>社会保障和就业</w:t>
      </w:r>
      <w:r>
        <w:rPr>
          <w:rFonts w:hint="eastAsia" w:ascii="仿宋" w:hAnsi="仿宋" w:eastAsia="仿宋"/>
          <w:sz w:val="30"/>
          <w:szCs w:val="30"/>
        </w:rPr>
        <w:t>支出年初预算数为</w:t>
      </w:r>
      <w:r>
        <w:rPr>
          <w:rFonts w:hint="eastAsia" w:ascii="仿宋" w:hAnsi="仿宋" w:eastAsia="仿宋"/>
          <w:sz w:val="30"/>
          <w:szCs w:val="30"/>
          <w:lang w:val="en-US" w:eastAsia="zh-CN"/>
        </w:rPr>
        <w:t xml:space="preserve"> 176.8</w:t>
      </w:r>
      <w:r>
        <w:rPr>
          <w:rFonts w:hint="eastAsia" w:ascii="仿宋" w:hAnsi="仿宋" w:eastAsia="仿宋"/>
          <w:sz w:val="30"/>
          <w:szCs w:val="30"/>
        </w:rPr>
        <w:t>万元，决算数为</w:t>
      </w:r>
      <w:r>
        <w:rPr>
          <w:rFonts w:hint="eastAsia" w:ascii="仿宋" w:hAnsi="仿宋" w:eastAsia="仿宋"/>
          <w:sz w:val="30"/>
          <w:szCs w:val="30"/>
          <w:lang w:val="en-US" w:eastAsia="zh-CN"/>
        </w:rPr>
        <w:t>189.07</w:t>
      </w:r>
      <w:r>
        <w:rPr>
          <w:rFonts w:hint="eastAsia" w:ascii="仿宋" w:hAnsi="仿宋" w:eastAsia="仿宋"/>
          <w:sz w:val="30"/>
          <w:szCs w:val="30"/>
        </w:rPr>
        <w:t>万元，完成年初预算的</w:t>
      </w:r>
      <w:r>
        <w:rPr>
          <w:rFonts w:hint="eastAsia" w:ascii="仿宋" w:hAnsi="仿宋" w:eastAsia="仿宋"/>
          <w:sz w:val="30"/>
          <w:szCs w:val="30"/>
          <w:lang w:val="en-US" w:eastAsia="zh-CN"/>
        </w:rPr>
        <w:t>106.94</w:t>
      </w:r>
      <w:r>
        <w:rPr>
          <w:rFonts w:hint="eastAsia" w:ascii="仿宋" w:hAnsi="仿宋" w:eastAsia="仿宋"/>
          <w:sz w:val="30"/>
          <w:szCs w:val="30"/>
        </w:rPr>
        <w:t>%，主要原因是：</w:t>
      </w:r>
      <w:r>
        <w:rPr>
          <w:rFonts w:hint="eastAsia" w:ascii="仿宋" w:hAnsi="仿宋" w:eastAsia="仿宋"/>
          <w:sz w:val="30"/>
          <w:szCs w:val="30"/>
          <w:lang w:eastAsia="zh-CN"/>
        </w:rPr>
        <w:t>缴纳职工养老、</w:t>
      </w:r>
      <w:r>
        <w:rPr>
          <w:rFonts w:hint="eastAsia" w:ascii="仿宋" w:hAnsi="仿宋" w:eastAsia="仿宋"/>
          <w:sz w:val="30"/>
          <w:szCs w:val="30"/>
          <w:lang w:val="en-US" w:eastAsia="zh-CN"/>
        </w:rPr>
        <w:t>年金</w:t>
      </w:r>
      <w:r>
        <w:rPr>
          <w:rFonts w:hint="eastAsia" w:ascii="仿宋" w:hAnsi="仿宋" w:eastAsia="仿宋"/>
          <w:sz w:val="30"/>
          <w:szCs w:val="30"/>
          <w:lang w:eastAsia="zh-CN"/>
        </w:rPr>
        <w:t>等各项保险</w:t>
      </w:r>
      <w:r>
        <w:rPr>
          <w:rFonts w:hint="eastAsia" w:ascii="仿宋" w:hAnsi="仿宋" w:eastAsia="仿宋"/>
          <w:sz w:val="30"/>
          <w:szCs w:val="30"/>
        </w:rPr>
        <w:t>。</w:t>
      </w:r>
    </w:p>
    <w:p>
      <w:pPr>
        <w:ind w:firstLine="585"/>
        <w:jc w:val="left"/>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w:t>
      </w:r>
      <w:r>
        <w:rPr>
          <w:rFonts w:hint="eastAsia" w:ascii="仿宋_GB2312" w:hAnsi="华文细黑" w:eastAsia="仿宋_GB2312" w:cs="宋体"/>
          <w:color w:val="000000"/>
          <w:kern w:val="0"/>
          <w:sz w:val="28"/>
          <w:szCs w:val="28"/>
          <w:lang w:val="en-US" w:eastAsia="zh-CN"/>
        </w:rPr>
        <w:t>卫生健康</w:t>
      </w:r>
      <w:r>
        <w:rPr>
          <w:rFonts w:hint="eastAsia" w:ascii="仿宋_GB2312" w:hAnsi="华文细黑" w:eastAsia="仿宋_GB2312" w:cs="宋体"/>
          <w:color w:val="000000"/>
          <w:kern w:val="0"/>
          <w:sz w:val="28"/>
          <w:szCs w:val="28"/>
        </w:rPr>
        <w:t>支出</w:t>
      </w:r>
      <w:r>
        <w:rPr>
          <w:rFonts w:hint="eastAsia" w:ascii="仿宋" w:hAnsi="仿宋" w:eastAsia="仿宋"/>
          <w:sz w:val="30"/>
          <w:szCs w:val="30"/>
        </w:rPr>
        <w:t>年初预算数为万</w:t>
      </w:r>
      <w:r>
        <w:rPr>
          <w:rFonts w:hint="eastAsia" w:ascii="仿宋" w:hAnsi="仿宋" w:eastAsia="仿宋"/>
          <w:sz w:val="30"/>
          <w:szCs w:val="30"/>
          <w:lang w:val="en-US" w:eastAsia="zh-CN"/>
        </w:rPr>
        <w:t>104.47</w:t>
      </w:r>
      <w:r>
        <w:rPr>
          <w:rFonts w:hint="eastAsia" w:ascii="仿宋" w:hAnsi="仿宋" w:eastAsia="仿宋"/>
          <w:sz w:val="30"/>
          <w:szCs w:val="30"/>
        </w:rPr>
        <w:t>元，决算数为</w:t>
      </w:r>
      <w:r>
        <w:rPr>
          <w:rFonts w:hint="eastAsia" w:ascii="仿宋" w:hAnsi="仿宋" w:eastAsia="仿宋"/>
          <w:sz w:val="30"/>
          <w:szCs w:val="30"/>
          <w:lang w:val="en-US" w:eastAsia="zh-CN"/>
        </w:rPr>
        <w:t>104.47</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val="en-US" w:eastAsia="zh-CN"/>
        </w:rPr>
        <w:t>全额</w:t>
      </w:r>
      <w:r>
        <w:rPr>
          <w:rFonts w:hint="eastAsia" w:ascii="仿宋" w:hAnsi="仿宋" w:eastAsia="仿宋"/>
          <w:sz w:val="30"/>
          <w:szCs w:val="30"/>
          <w:lang w:eastAsia="zh-CN"/>
        </w:rPr>
        <w:t>缴纳职工</w:t>
      </w:r>
      <w:r>
        <w:rPr>
          <w:rFonts w:hint="eastAsia" w:ascii="仿宋" w:hAnsi="仿宋" w:eastAsia="仿宋"/>
          <w:sz w:val="30"/>
          <w:szCs w:val="30"/>
          <w:lang w:val="en-US" w:eastAsia="zh-CN"/>
        </w:rPr>
        <w:t>医疗</w:t>
      </w:r>
      <w:r>
        <w:rPr>
          <w:rFonts w:hint="eastAsia" w:ascii="仿宋" w:hAnsi="仿宋" w:eastAsia="仿宋"/>
          <w:sz w:val="30"/>
          <w:szCs w:val="30"/>
          <w:lang w:eastAsia="zh-CN"/>
        </w:rPr>
        <w:t>、</w:t>
      </w:r>
      <w:r>
        <w:rPr>
          <w:rFonts w:hint="eastAsia" w:ascii="仿宋" w:hAnsi="仿宋" w:eastAsia="仿宋"/>
          <w:sz w:val="30"/>
          <w:szCs w:val="30"/>
          <w:lang w:val="en-US" w:eastAsia="zh-CN"/>
        </w:rPr>
        <w:t>生育</w:t>
      </w:r>
      <w:r>
        <w:rPr>
          <w:rFonts w:hint="eastAsia" w:ascii="仿宋" w:hAnsi="仿宋" w:eastAsia="仿宋"/>
          <w:sz w:val="30"/>
          <w:szCs w:val="30"/>
          <w:lang w:eastAsia="zh-CN"/>
        </w:rPr>
        <w:t>等各项保险。</w:t>
      </w:r>
    </w:p>
    <w:p>
      <w:pPr>
        <w:ind w:firstLine="585"/>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四</w:t>
      </w:r>
      <w:r>
        <w:rPr>
          <w:rFonts w:hint="eastAsia" w:ascii="仿宋" w:hAnsi="仿宋" w:eastAsia="仿宋"/>
          <w:sz w:val="30"/>
          <w:szCs w:val="30"/>
        </w:rPr>
        <w:t>）</w:t>
      </w:r>
      <w:r>
        <w:rPr>
          <w:rFonts w:hint="eastAsia" w:ascii="仿宋_GB2312" w:hAnsi="华文细黑" w:eastAsia="仿宋_GB2312" w:cs="宋体"/>
          <w:color w:val="000000"/>
          <w:kern w:val="0"/>
          <w:sz w:val="28"/>
          <w:szCs w:val="28"/>
        </w:rPr>
        <w:t>住房保障支出</w:t>
      </w:r>
      <w:r>
        <w:rPr>
          <w:rFonts w:hint="eastAsia" w:ascii="仿宋" w:hAnsi="仿宋" w:eastAsia="仿宋"/>
          <w:sz w:val="30"/>
          <w:szCs w:val="30"/>
        </w:rPr>
        <w:t>年初预算数为</w:t>
      </w:r>
      <w:r>
        <w:rPr>
          <w:rFonts w:hint="eastAsia" w:ascii="仿宋" w:hAnsi="仿宋" w:eastAsia="仿宋"/>
          <w:sz w:val="30"/>
          <w:szCs w:val="30"/>
          <w:lang w:val="en-US" w:eastAsia="zh-CN"/>
        </w:rPr>
        <w:t>83.98</w:t>
      </w:r>
      <w:r>
        <w:rPr>
          <w:rFonts w:hint="eastAsia" w:ascii="仿宋" w:hAnsi="仿宋" w:eastAsia="仿宋"/>
          <w:sz w:val="30"/>
          <w:szCs w:val="30"/>
        </w:rPr>
        <w:t>万元，决算数为</w:t>
      </w:r>
      <w:r>
        <w:rPr>
          <w:rFonts w:hint="eastAsia" w:ascii="仿宋" w:hAnsi="仿宋" w:eastAsia="仿宋"/>
          <w:sz w:val="30"/>
          <w:szCs w:val="30"/>
          <w:lang w:val="en-US" w:eastAsia="zh-CN"/>
        </w:rPr>
        <w:t>83.98</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全额缴纳在职职工住房公积金</w:t>
      </w:r>
      <w:r>
        <w:rPr>
          <w:rFonts w:hint="eastAsia" w:ascii="仿宋" w:hAnsi="仿宋" w:eastAsia="仿宋"/>
          <w:sz w:val="30"/>
          <w:szCs w:val="30"/>
        </w:rPr>
        <w:t>。</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2074.75</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1368.19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增加123.32</w:t>
      </w:r>
      <w:r>
        <w:rPr>
          <w:rFonts w:hint="eastAsia" w:ascii="仿宋" w:hAnsi="仿宋" w:eastAsia="仿宋"/>
          <w:sz w:val="30"/>
          <w:szCs w:val="30"/>
        </w:rPr>
        <w:t>万元，增长</w:t>
      </w:r>
      <w:r>
        <w:rPr>
          <w:rFonts w:hint="eastAsia" w:ascii="仿宋" w:hAnsi="仿宋" w:eastAsia="仿宋"/>
          <w:sz w:val="30"/>
          <w:szCs w:val="30"/>
          <w:lang w:val="en-US" w:eastAsia="zh-CN"/>
        </w:rPr>
        <w:t>9.91</w:t>
      </w:r>
      <w:r>
        <w:rPr>
          <w:rFonts w:hint="eastAsia" w:ascii="仿宋" w:hAnsi="仿宋" w:eastAsia="仿宋"/>
          <w:sz w:val="30"/>
          <w:szCs w:val="30"/>
        </w:rPr>
        <w:t>%，主要原因是：</w:t>
      </w:r>
      <w:r>
        <w:rPr>
          <w:rFonts w:hint="eastAsia" w:ascii="仿宋" w:hAnsi="仿宋" w:eastAsia="仿宋"/>
          <w:sz w:val="30"/>
          <w:szCs w:val="30"/>
          <w:lang w:eastAsia="zh-CN"/>
        </w:rPr>
        <w:t>人员增资</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461.81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w:t>
      </w:r>
      <w:r>
        <w:rPr>
          <w:rFonts w:hint="eastAsia" w:ascii="仿宋" w:hAnsi="仿宋" w:eastAsia="仿宋"/>
          <w:sz w:val="30"/>
          <w:szCs w:val="30"/>
          <w:lang w:val="en-US" w:eastAsia="zh-CN"/>
        </w:rPr>
        <w:t>少72.07</w:t>
      </w:r>
      <w:r>
        <w:rPr>
          <w:rFonts w:hint="eastAsia" w:ascii="仿宋" w:hAnsi="仿宋" w:eastAsia="仿宋"/>
          <w:sz w:val="30"/>
          <w:szCs w:val="30"/>
        </w:rPr>
        <w:t>万元，下降</w:t>
      </w:r>
      <w:r>
        <w:rPr>
          <w:rFonts w:hint="eastAsia" w:ascii="仿宋" w:hAnsi="仿宋" w:eastAsia="仿宋"/>
          <w:sz w:val="30"/>
          <w:szCs w:val="30"/>
          <w:lang w:val="en-US" w:eastAsia="zh-CN"/>
        </w:rPr>
        <w:t>13.5</w:t>
      </w:r>
      <w:r>
        <w:rPr>
          <w:rFonts w:hint="eastAsia" w:ascii="仿宋" w:hAnsi="仿宋" w:eastAsia="仿宋"/>
          <w:sz w:val="30"/>
          <w:szCs w:val="30"/>
        </w:rPr>
        <w:t>%，主要原因是：</w:t>
      </w:r>
      <w:r>
        <w:rPr>
          <w:rFonts w:hint="eastAsia" w:ascii="仿宋" w:hAnsi="仿宋" w:eastAsia="仿宋"/>
          <w:sz w:val="30"/>
          <w:szCs w:val="30"/>
          <w:lang w:eastAsia="zh-CN"/>
        </w:rPr>
        <w:t>公用经费</w:t>
      </w:r>
      <w:r>
        <w:rPr>
          <w:rFonts w:hint="eastAsia" w:ascii="仿宋" w:hAnsi="仿宋" w:eastAsia="仿宋"/>
          <w:sz w:val="30"/>
          <w:szCs w:val="30"/>
          <w:lang w:val="en-US" w:eastAsia="zh-CN"/>
        </w:rPr>
        <w:t>减少</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845.11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43.53</w:t>
      </w:r>
      <w:r>
        <w:rPr>
          <w:rFonts w:hint="eastAsia" w:ascii="仿宋" w:hAnsi="仿宋" w:eastAsia="仿宋"/>
          <w:sz w:val="30"/>
          <w:szCs w:val="30"/>
        </w:rPr>
        <w:t>万元，增长</w:t>
      </w:r>
      <w:r>
        <w:rPr>
          <w:rFonts w:hint="eastAsia" w:ascii="仿宋" w:hAnsi="仿宋" w:eastAsia="仿宋"/>
          <w:sz w:val="30"/>
          <w:szCs w:val="30"/>
          <w:lang w:val="en-US" w:eastAsia="zh-CN"/>
        </w:rPr>
        <w:t>5.43</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离退休人员增资</w:t>
      </w:r>
      <w:r>
        <w:rPr>
          <w:rFonts w:hint="eastAsia" w:ascii="仿宋" w:hAnsi="仿宋" w:eastAsia="仿宋"/>
          <w:sz w:val="30"/>
          <w:szCs w:val="30"/>
        </w:rPr>
        <w:t>。</w:t>
      </w:r>
    </w:p>
    <w:p>
      <w:pPr>
        <w:ind w:firstLine="585"/>
        <w:jc w:val="left"/>
        <w:rPr>
          <w:rFonts w:hint="eastAsia" w:ascii="仿宋" w:hAnsi="仿宋" w:eastAsia="仿宋"/>
          <w:sz w:val="30"/>
          <w:szCs w:val="30"/>
          <w:highlight w:val="none"/>
        </w:rPr>
      </w:pPr>
      <w:r>
        <w:rPr>
          <w:rFonts w:hint="eastAsia" w:ascii="仿宋" w:hAnsi="仿宋" w:eastAsia="仿宋"/>
          <w:sz w:val="30"/>
          <w:szCs w:val="30"/>
        </w:rPr>
        <w:t>（四）资本性支出</w:t>
      </w:r>
      <w:r>
        <w:rPr>
          <w:rFonts w:hint="eastAsia" w:ascii="仿宋" w:hAnsi="仿宋" w:eastAsia="仿宋"/>
          <w:sz w:val="30"/>
          <w:szCs w:val="30"/>
          <w:lang w:val="en-US" w:eastAsia="zh-CN"/>
        </w:rPr>
        <w:t>65.64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334.22</w:t>
      </w:r>
      <w:r>
        <w:rPr>
          <w:rFonts w:hint="eastAsia" w:ascii="仿宋" w:hAnsi="仿宋" w:eastAsia="仿宋"/>
          <w:sz w:val="30"/>
          <w:szCs w:val="30"/>
        </w:rPr>
        <w:t>万元，下降%，主要原因是：</w:t>
      </w:r>
      <w:r>
        <w:rPr>
          <w:rFonts w:hint="eastAsia" w:ascii="仿宋" w:hAnsi="仿宋" w:eastAsia="仿宋"/>
          <w:sz w:val="30"/>
          <w:szCs w:val="30"/>
          <w:highlight w:val="none"/>
          <w:lang w:eastAsia="zh-CN"/>
        </w:rPr>
        <w:t>上年度完成建设应急指挥中心项目</w:t>
      </w:r>
      <w:r>
        <w:rPr>
          <w:rFonts w:hint="eastAsia" w:ascii="仿宋" w:hAnsi="仿宋" w:eastAsia="仿宋"/>
          <w:sz w:val="30"/>
          <w:szCs w:val="30"/>
          <w:highlight w:val="none"/>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127.95</w:t>
      </w:r>
      <w:r>
        <w:rPr>
          <w:rFonts w:hint="eastAsia" w:ascii="仿宋" w:hAnsi="仿宋" w:eastAsia="仿宋"/>
          <w:sz w:val="30"/>
          <w:szCs w:val="30"/>
        </w:rPr>
        <w:t>万元，决算数为</w:t>
      </w:r>
      <w:r>
        <w:rPr>
          <w:rFonts w:hint="eastAsia" w:ascii="仿宋" w:hAnsi="仿宋" w:eastAsia="仿宋"/>
          <w:sz w:val="30"/>
          <w:szCs w:val="30"/>
          <w:lang w:val="en-US" w:eastAsia="zh-CN"/>
        </w:rPr>
        <w:t>19.72</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15.41</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14.81</w:t>
      </w:r>
      <w:r>
        <w:rPr>
          <w:rFonts w:hint="eastAsia" w:ascii="仿宋" w:hAnsi="仿宋" w:eastAsia="仿宋"/>
          <w:sz w:val="30"/>
          <w:szCs w:val="30"/>
        </w:rPr>
        <w:t>万元，下降</w:t>
      </w:r>
      <w:r>
        <w:rPr>
          <w:rFonts w:hint="eastAsia" w:ascii="仿宋" w:hAnsi="仿宋" w:eastAsia="仿宋"/>
          <w:sz w:val="30"/>
          <w:szCs w:val="30"/>
          <w:lang w:val="en-US" w:eastAsia="zh-CN"/>
        </w:rPr>
        <w:t>42.89</w:t>
      </w:r>
      <w:r>
        <w:rPr>
          <w:rFonts w:hint="eastAsia" w:ascii="仿宋" w:hAnsi="仿宋" w:eastAsia="仿宋"/>
          <w:sz w:val="30"/>
          <w:szCs w:val="30"/>
        </w:rPr>
        <w:t>%，其中：</w:t>
      </w:r>
    </w:p>
    <w:p>
      <w:pPr>
        <w:numPr>
          <w:ilvl w:val="0"/>
          <w:numId w:val="4"/>
        </w:numPr>
        <w:ind w:firstLine="630"/>
        <w:jc w:val="left"/>
        <w:rPr>
          <w:rFonts w:hint="eastAsia" w:ascii="仿宋" w:hAnsi="仿宋" w:eastAsia="仿宋"/>
          <w:sz w:val="30"/>
          <w:szCs w:val="30"/>
        </w:rPr>
      </w:pPr>
      <w:r>
        <w:rPr>
          <w:rFonts w:hint="eastAsia" w:ascii="仿宋" w:hAnsi="仿宋" w:eastAsia="仿宋"/>
          <w:sz w:val="30"/>
          <w:szCs w:val="30"/>
        </w:rPr>
        <w:t>因公出国（境）支出年初预算数为</w:t>
      </w:r>
      <w:r>
        <w:rPr>
          <w:rFonts w:hint="eastAsia" w:ascii="仿宋" w:hAnsi="仿宋" w:eastAsia="仿宋"/>
          <w:sz w:val="30"/>
          <w:szCs w:val="30"/>
          <w:lang w:val="en-US" w:eastAsia="zh-CN"/>
        </w:rPr>
        <w:t>5</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w:t>
      </w:r>
      <w:r>
        <w:rPr>
          <w:rFonts w:hint="eastAsia" w:ascii="仿宋" w:hAnsi="仿宋" w:eastAsia="仿宋"/>
          <w:sz w:val="30"/>
          <w:szCs w:val="30"/>
          <w:lang w:val="en-US" w:eastAsia="zh-CN"/>
        </w:rPr>
        <w:t>与</w:t>
      </w:r>
      <w:r>
        <w:rPr>
          <w:rFonts w:hint="eastAsia" w:ascii="仿宋" w:hAnsi="仿宋" w:eastAsia="仿宋"/>
          <w:sz w:val="30"/>
          <w:szCs w:val="30"/>
        </w:rPr>
        <w:t>201</w:t>
      </w:r>
      <w:r>
        <w:rPr>
          <w:rFonts w:hint="eastAsia" w:ascii="仿宋" w:hAnsi="仿宋" w:eastAsia="仿宋"/>
          <w:sz w:val="30"/>
          <w:szCs w:val="30"/>
          <w:lang w:val="en-US" w:eastAsia="zh-CN"/>
        </w:rPr>
        <w:t>8年</w:t>
      </w:r>
      <w:r>
        <w:rPr>
          <w:rFonts w:hint="eastAsia" w:ascii="仿宋" w:hAnsi="仿宋" w:eastAsia="仿宋"/>
          <w:sz w:val="30"/>
          <w:szCs w:val="30"/>
        </w:rPr>
        <w:t>减少</w:t>
      </w:r>
      <w:r>
        <w:rPr>
          <w:rFonts w:hint="eastAsia" w:ascii="仿宋" w:hAnsi="仿宋" w:eastAsia="仿宋"/>
          <w:sz w:val="30"/>
          <w:szCs w:val="30"/>
          <w:lang w:val="en-US" w:eastAsia="zh-CN"/>
        </w:rPr>
        <w:t>0</w:t>
      </w:r>
      <w:r>
        <w:rPr>
          <w:rFonts w:hint="eastAsia" w:ascii="仿宋" w:hAnsi="仿宋" w:eastAsia="仿宋"/>
          <w:sz w:val="30"/>
          <w:szCs w:val="30"/>
        </w:rPr>
        <w:t>万元，下降</w:t>
      </w:r>
      <w:r>
        <w:rPr>
          <w:rFonts w:hint="eastAsia" w:ascii="仿宋" w:hAnsi="仿宋" w:eastAsia="仿宋"/>
          <w:sz w:val="30"/>
          <w:szCs w:val="30"/>
          <w:lang w:val="en-US" w:eastAsia="zh-CN"/>
        </w:rPr>
        <w:t>0</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年未发生</w:t>
      </w:r>
      <w:r>
        <w:rPr>
          <w:rFonts w:hint="eastAsia" w:ascii="仿宋" w:hAnsi="仿宋" w:eastAsia="仿宋"/>
          <w:sz w:val="30"/>
          <w:szCs w:val="30"/>
        </w:rPr>
        <w:t>因公出国（境）支出</w:t>
      </w:r>
      <w:r>
        <w:rPr>
          <w:rFonts w:hint="eastAsia" w:ascii="仿宋" w:hAnsi="仿宋" w:eastAsia="仿宋"/>
          <w:sz w:val="30"/>
          <w:szCs w:val="30"/>
          <w:lang w:val="en-US" w:eastAsia="zh-CN"/>
        </w:rPr>
        <w:t>.</w:t>
      </w:r>
    </w:p>
    <w:p>
      <w:pPr>
        <w:numPr>
          <w:ilvl w:val="0"/>
          <w:numId w:val="4"/>
        </w:numPr>
        <w:ind w:firstLine="630"/>
        <w:jc w:val="left"/>
        <w:rPr>
          <w:rFonts w:hint="eastAsia" w:ascii="仿宋" w:hAnsi="仿宋" w:eastAsia="仿宋"/>
          <w:sz w:val="30"/>
          <w:szCs w:val="30"/>
        </w:rPr>
      </w:pPr>
      <w:r>
        <w:rPr>
          <w:rFonts w:hint="eastAsia" w:ascii="仿宋" w:hAnsi="仿宋" w:eastAsia="仿宋"/>
          <w:sz w:val="30"/>
          <w:szCs w:val="30"/>
        </w:rPr>
        <w:t>公务接待费支出年初预算数为</w:t>
      </w:r>
      <w:r>
        <w:rPr>
          <w:rFonts w:hint="eastAsia" w:ascii="仿宋" w:hAnsi="仿宋" w:eastAsia="仿宋"/>
          <w:sz w:val="30"/>
          <w:szCs w:val="30"/>
          <w:lang w:val="en-US" w:eastAsia="zh-CN"/>
        </w:rPr>
        <w:t>60</w:t>
      </w:r>
      <w:r>
        <w:rPr>
          <w:rFonts w:hint="eastAsia" w:ascii="仿宋" w:hAnsi="仿宋" w:eastAsia="仿宋"/>
          <w:sz w:val="30"/>
          <w:szCs w:val="30"/>
        </w:rPr>
        <w:t>万元，决算数为</w:t>
      </w:r>
      <w:r>
        <w:rPr>
          <w:rFonts w:hint="eastAsia" w:ascii="仿宋" w:hAnsi="仿宋" w:eastAsia="仿宋"/>
          <w:sz w:val="30"/>
          <w:szCs w:val="30"/>
          <w:lang w:val="en-US" w:eastAsia="zh-CN"/>
        </w:rPr>
        <w:t>0.72</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1.2</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0.87</w:t>
      </w:r>
      <w:r>
        <w:rPr>
          <w:rFonts w:hint="eastAsia" w:ascii="仿宋" w:hAnsi="仿宋" w:eastAsia="仿宋"/>
          <w:sz w:val="30"/>
          <w:szCs w:val="30"/>
        </w:rPr>
        <w:t>万元，下降</w:t>
      </w:r>
      <w:r>
        <w:rPr>
          <w:rFonts w:hint="eastAsia" w:ascii="仿宋" w:hAnsi="仿宋" w:eastAsia="仿宋"/>
          <w:sz w:val="30"/>
          <w:szCs w:val="30"/>
          <w:lang w:val="en-US" w:eastAsia="zh-CN"/>
        </w:rPr>
        <w:t>54.72</w:t>
      </w:r>
      <w:r>
        <w:rPr>
          <w:rFonts w:hint="eastAsia" w:ascii="仿宋" w:hAnsi="仿宋" w:eastAsia="仿宋"/>
          <w:sz w:val="30"/>
          <w:szCs w:val="30"/>
        </w:rPr>
        <w:t>%。决算数较年初预算数减少的主要原因是：</w:t>
      </w:r>
      <w:r>
        <w:rPr>
          <w:rFonts w:hint="eastAsia" w:eastAsia="仿宋_GB2312"/>
          <w:sz w:val="32"/>
          <w:szCs w:val="32"/>
        </w:rPr>
        <w:t>厉行节约，非必要接待原则上不予安排</w:t>
      </w:r>
      <w:r>
        <w:rPr>
          <w:rFonts w:hint="eastAsia" w:ascii="仿宋" w:hAnsi="仿宋" w:eastAsia="仿宋"/>
          <w:sz w:val="30"/>
          <w:szCs w:val="30"/>
        </w:rPr>
        <w:t>。</w:t>
      </w:r>
    </w:p>
    <w:p>
      <w:pPr>
        <w:ind w:firstLine="600" w:firstLineChars="200"/>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62.95</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 xml:space="preserve"> %。决算数较年初预算数增加（减少）的主要原因是：</w:t>
      </w:r>
      <w:r>
        <w:rPr>
          <w:rFonts w:hint="eastAsia" w:ascii="仿宋" w:hAnsi="仿宋" w:eastAsia="仿宋"/>
          <w:sz w:val="30"/>
          <w:szCs w:val="30"/>
          <w:lang w:eastAsia="zh-CN"/>
        </w:rPr>
        <w:t>严格执行车改，无公车购置计划</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62.95</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19</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30.18</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13.94</w:t>
      </w:r>
      <w:r>
        <w:rPr>
          <w:rFonts w:hint="eastAsia" w:ascii="仿宋" w:hAnsi="仿宋" w:eastAsia="仿宋"/>
          <w:sz w:val="30"/>
          <w:szCs w:val="30"/>
        </w:rPr>
        <w:t>万元，下降</w:t>
      </w:r>
      <w:r>
        <w:rPr>
          <w:rFonts w:hint="eastAsia" w:ascii="仿宋" w:hAnsi="仿宋" w:eastAsia="仿宋"/>
          <w:sz w:val="30"/>
          <w:szCs w:val="30"/>
          <w:lang w:val="en-US" w:eastAsia="zh-CN"/>
        </w:rPr>
        <w:t>42.32</w:t>
      </w:r>
      <w:r>
        <w:rPr>
          <w:rFonts w:hint="eastAsia" w:ascii="仿宋" w:hAnsi="仿宋" w:eastAsia="仿宋"/>
          <w:sz w:val="30"/>
          <w:szCs w:val="30"/>
        </w:rPr>
        <w:t>%。决算数较年初预算数减少的主要原因是：</w:t>
      </w:r>
      <w:r>
        <w:rPr>
          <w:rFonts w:hint="eastAsia" w:ascii="仿宋_GB2312" w:hAnsi="宋体" w:eastAsia="仿宋_GB2312" w:cs="仿宋_GB2312"/>
          <w:sz w:val="32"/>
          <w:szCs w:val="32"/>
          <w:lang w:val="en-US" w:eastAsia="zh-CN"/>
        </w:rPr>
        <w:t>严格执行公务用车管理办法，减少不必要用车</w:t>
      </w:r>
      <w:r>
        <w:rPr>
          <w:rFonts w:hint="eastAsia" w:ascii="仿宋" w:hAnsi="仿宋" w:eastAsia="仿宋"/>
          <w:sz w:val="30"/>
          <w:szCs w:val="30"/>
        </w:rPr>
        <w:t>。</w:t>
      </w:r>
    </w:p>
    <w:p>
      <w:pPr>
        <w:ind w:firstLine="630"/>
        <w:jc w:val="left"/>
        <w:rPr>
          <w:rFonts w:hint="eastAsia" w:ascii="黑体" w:hAnsi="黑体" w:eastAsia="黑体"/>
          <w:sz w:val="30"/>
          <w:szCs w:val="30"/>
        </w:rPr>
      </w:pPr>
    </w:p>
    <w:p>
      <w:pPr>
        <w:ind w:firstLine="630"/>
        <w:jc w:val="left"/>
        <w:rPr>
          <w:rFonts w:hint="eastAsia" w:ascii="黑体" w:hAnsi="黑体" w:eastAsia="黑体"/>
          <w:sz w:val="30"/>
          <w:szCs w:val="30"/>
        </w:rPr>
      </w:pPr>
    </w:p>
    <w:p>
      <w:pPr>
        <w:ind w:firstLine="630"/>
        <w:jc w:val="left"/>
        <w:rPr>
          <w:rFonts w:hint="eastAsia" w:ascii="黑体" w:hAnsi="黑体" w:eastAsia="黑体"/>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527.45</w:t>
      </w:r>
      <w:r>
        <w:rPr>
          <w:rFonts w:hint="eastAsia" w:ascii="仿宋" w:hAnsi="仿宋" w:eastAsia="仿宋"/>
          <w:sz w:val="30"/>
          <w:szCs w:val="30"/>
        </w:rPr>
        <w:t>万元（与部门决算中行政单位和参照公务员法管理事业单位一般公共预算财政拨款基本支出中公用经费之和保持一致），较年初预算数减少</w:t>
      </w:r>
      <w:r>
        <w:rPr>
          <w:rFonts w:hint="eastAsia" w:ascii="仿宋" w:hAnsi="仿宋" w:eastAsia="仿宋"/>
          <w:sz w:val="30"/>
          <w:szCs w:val="30"/>
          <w:lang w:val="en-US" w:eastAsia="zh-CN"/>
        </w:rPr>
        <w:t>453.15</w:t>
      </w:r>
      <w:r>
        <w:rPr>
          <w:rFonts w:hint="eastAsia" w:ascii="仿宋" w:hAnsi="仿宋" w:eastAsia="仿宋"/>
          <w:sz w:val="30"/>
          <w:szCs w:val="30"/>
        </w:rPr>
        <w:t>万元，降低</w:t>
      </w:r>
      <w:r>
        <w:rPr>
          <w:rFonts w:hint="eastAsia" w:ascii="仿宋" w:hAnsi="仿宋" w:eastAsia="仿宋"/>
          <w:sz w:val="30"/>
          <w:szCs w:val="30"/>
          <w:lang w:val="en-US" w:eastAsia="zh-CN"/>
        </w:rPr>
        <w:t>31.95</w:t>
      </w:r>
      <w:r>
        <w:rPr>
          <w:rFonts w:hint="eastAsia" w:ascii="仿宋" w:hAnsi="仿宋" w:eastAsia="仿宋"/>
          <w:sz w:val="30"/>
          <w:szCs w:val="30"/>
        </w:rPr>
        <w:t>%，主要原因是：</w:t>
      </w:r>
      <w:r>
        <w:rPr>
          <w:rFonts w:hint="eastAsia" w:ascii="仿宋" w:hAnsi="仿宋" w:eastAsia="仿宋"/>
          <w:sz w:val="30"/>
          <w:szCs w:val="30"/>
          <w:lang w:val="en-US" w:eastAsia="zh-CN"/>
        </w:rPr>
        <w:t>办公设施设备购置经费及资本性支出减少</w:t>
      </w:r>
      <w:r>
        <w:rPr>
          <w:rFonts w:hint="eastAsia" w:ascii="仿宋" w:hAnsi="仿宋" w:eastAsia="仿宋"/>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6"/>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47.67</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40.39</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7.28</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2.58</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5.41</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37.81</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79.32</w:t>
      </w:r>
      <w:r>
        <w:rPr>
          <w:rFonts w:hint="eastAsia" w:ascii="仿宋" w:hAnsi="仿宋" w:eastAsia="仿宋"/>
          <w:sz w:val="30"/>
          <w:szCs w:val="30"/>
        </w:rPr>
        <w:t>%。（省级部门公开的政府采购金额的计算口径为：本部门纳入201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年12月31日，本部门共有车辆</w:t>
      </w:r>
      <w:r>
        <w:rPr>
          <w:rFonts w:hint="eastAsia" w:ascii="仿宋" w:hAnsi="仿宋" w:eastAsia="仿宋"/>
          <w:kern w:val="0"/>
          <w:sz w:val="30"/>
          <w:szCs w:val="30"/>
          <w:lang w:val="en-US" w:eastAsia="zh-CN"/>
        </w:rPr>
        <w:t>3</w:t>
      </w:r>
      <w:r>
        <w:rPr>
          <w:rFonts w:hint="eastAsia" w:ascii="仿宋" w:hAnsi="仿宋" w:eastAsia="仿宋"/>
          <w:kern w:val="0"/>
          <w:sz w:val="30"/>
          <w:szCs w:val="30"/>
        </w:rPr>
        <w:t>辆，其中，副部（省）级及以上领导用车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辆、主要领导干部用车</w:t>
      </w:r>
      <w:r>
        <w:rPr>
          <w:rFonts w:hint="eastAsia" w:ascii="仿宋" w:hAnsi="仿宋" w:eastAsia="仿宋"/>
          <w:kern w:val="0"/>
          <w:sz w:val="30"/>
          <w:szCs w:val="30"/>
          <w:lang w:val="en-US" w:eastAsia="zh-CN"/>
        </w:rPr>
        <w:t>1</w:t>
      </w:r>
      <w:r>
        <w:rPr>
          <w:rFonts w:hint="eastAsia" w:ascii="仿宋" w:hAnsi="仿宋" w:eastAsia="仿宋"/>
          <w:kern w:val="0"/>
          <w:sz w:val="30"/>
          <w:szCs w:val="30"/>
        </w:rPr>
        <w:t>辆、机要通信用车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辆、应急保障用车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辆、执法执勤用车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辆、特种专业技术用车</w:t>
      </w:r>
      <w:r>
        <w:rPr>
          <w:rFonts w:hint="eastAsia" w:ascii="仿宋" w:hAnsi="仿宋" w:eastAsia="仿宋"/>
          <w:kern w:val="0"/>
          <w:sz w:val="30"/>
          <w:szCs w:val="30"/>
          <w:lang w:val="en-US" w:eastAsia="zh-CN"/>
        </w:rPr>
        <w:t>2</w:t>
      </w:r>
      <w:r>
        <w:rPr>
          <w:rFonts w:hint="eastAsia" w:ascii="仿宋" w:hAnsi="仿宋" w:eastAsia="仿宋"/>
          <w:kern w:val="0"/>
          <w:sz w:val="30"/>
          <w:szCs w:val="30"/>
        </w:rPr>
        <w:t>辆、其他用车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辆；单位价值50万元以上通用设备</w:t>
      </w:r>
      <w:r>
        <w:rPr>
          <w:rFonts w:hint="eastAsia" w:ascii="仿宋" w:hAnsi="仿宋" w:eastAsia="仿宋"/>
          <w:kern w:val="0"/>
          <w:sz w:val="30"/>
          <w:szCs w:val="30"/>
          <w:lang w:val="en-US" w:eastAsia="zh-CN"/>
        </w:rPr>
        <w:t>1</w:t>
      </w:r>
      <w:r>
        <w:rPr>
          <w:rFonts w:hint="eastAsia" w:ascii="仿宋" w:hAnsi="仿宋" w:eastAsia="仿宋"/>
          <w:kern w:val="0"/>
          <w:sz w:val="30"/>
          <w:szCs w:val="30"/>
        </w:rPr>
        <w:t>台（套）；单位价值100万元以上专用设备</w:t>
      </w:r>
      <w:r>
        <w:rPr>
          <w:rFonts w:hint="eastAsia" w:ascii="仿宋" w:hAnsi="仿宋" w:eastAsia="仿宋"/>
          <w:kern w:val="0"/>
          <w:sz w:val="30"/>
          <w:szCs w:val="30"/>
          <w:lang w:val="en-US" w:eastAsia="zh-CN"/>
        </w:rPr>
        <w:t>2</w:t>
      </w:r>
      <w:r>
        <w:rPr>
          <w:rFonts w:hint="eastAsia" w:ascii="仿宋" w:hAnsi="仿宋" w:eastAsia="仿宋"/>
          <w:kern w:val="0"/>
          <w:sz w:val="30"/>
          <w:szCs w:val="30"/>
        </w:rPr>
        <w:t>台（套）。</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pStyle w:val="9"/>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w:t>
      </w:r>
      <w:r>
        <w:rPr>
          <w:rFonts w:hint="eastAsia" w:ascii="仿宋" w:hAnsi="仿宋" w:eastAsia="仿宋" w:cs="仿宋_GB2312"/>
          <w:kern w:val="0"/>
          <w:sz w:val="30"/>
          <w:szCs w:val="30"/>
          <w:lang w:eastAsia="zh-CN"/>
        </w:rPr>
        <w:t>整体</w:t>
      </w:r>
      <w:r>
        <w:rPr>
          <w:rFonts w:hint="eastAsia" w:ascii="仿宋" w:hAnsi="仿宋" w:eastAsia="仿宋" w:cs="仿宋_GB2312"/>
          <w:kern w:val="0"/>
          <w:sz w:val="30"/>
          <w:szCs w:val="30"/>
        </w:rPr>
        <w:t>支出全面开展绩效自评，</w:t>
      </w:r>
      <w:r>
        <w:rPr>
          <w:rFonts w:hint="eastAsia" w:ascii="仿宋" w:hAnsi="仿宋" w:eastAsia="仿宋" w:cs="仿宋"/>
          <w:kern w:val="2"/>
          <w:sz w:val="28"/>
          <w:szCs w:val="28"/>
          <w:lang w:val="en-US" w:eastAsia="zh-CN" w:bidi="ar-SA"/>
        </w:rPr>
        <w:t>在省政府办公厅和市委、市政府的正确领导下，坚持以习近平新时代中国特色社会主义思想为指导，认真贯彻落实党的十九大和省委十四届六次、七次会议精神，按照“五型”政府建设要求和“三个五”战略部署，紧紧围绕全市中心工作，不断深化服务意识，改进工作方法，进一步发挥了参谋助手、督促检查、协调综合、后勤保障作用，牢固树立服务和效率意识，全面履行各项职责，为推动全市经济社会发展作出积极贡献</w:t>
      </w:r>
      <w:r>
        <w:rPr>
          <w:rFonts w:hint="eastAsia" w:ascii="仿宋" w:hAnsi="仿宋" w:eastAsia="仿宋" w:cs="仿宋_GB2312"/>
          <w:kern w:val="0"/>
          <w:sz w:val="30"/>
          <w:szCs w:val="30"/>
        </w:rPr>
        <w:t>。</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我部门今年在部门决算中反映</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绩效自评结果。</w:t>
      </w:r>
    </w:p>
    <w:p>
      <w:pPr>
        <w:pStyle w:val="9"/>
        <w:rPr>
          <w:rFonts w:hint="eastAsia" w:ascii="仿宋" w:hAnsi="仿宋" w:eastAsia="仿宋" w:cs="仿宋"/>
          <w:kern w:val="2"/>
          <w:sz w:val="28"/>
          <w:szCs w:val="28"/>
          <w:lang w:val="en-US" w:eastAsia="zh-CN" w:bidi="ar-SA"/>
        </w:rPr>
      </w:pPr>
      <w:r>
        <w:rPr>
          <w:rFonts w:hint="eastAsia" w:ascii="仿宋" w:hAnsi="仿宋" w:eastAsia="仿宋" w:cs="仿宋_GB2312"/>
          <w:kern w:val="0"/>
          <w:sz w:val="30"/>
          <w:szCs w:val="30"/>
          <w:lang w:eastAsia="zh-CN"/>
        </w:rPr>
        <w:t>整体</w:t>
      </w:r>
      <w:r>
        <w:rPr>
          <w:rFonts w:hint="eastAsia" w:ascii="仿宋" w:hAnsi="仿宋" w:eastAsia="仿宋" w:cs="仿宋_GB2312"/>
          <w:kern w:val="0"/>
          <w:sz w:val="30"/>
          <w:szCs w:val="30"/>
        </w:rPr>
        <w:t>绩效自评综述：根据年初设定的绩效目标</w:t>
      </w:r>
      <w:r>
        <w:rPr>
          <w:rFonts w:hint="eastAsia" w:ascii="仿宋" w:hAnsi="仿宋" w:eastAsia="仿宋" w:cs="仿宋_GB2312"/>
          <w:kern w:val="0"/>
          <w:sz w:val="30"/>
          <w:szCs w:val="30"/>
          <w:lang w:eastAsia="zh-CN"/>
        </w:rPr>
        <w:t>。</w:t>
      </w:r>
    </w:p>
    <w:p>
      <w:pPr>
        <w:pStyle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绩效目标1：当好参谋助手，提高政务保障水平</w:t>
      </w:r>
    </w:p>
    <w:p>
      <w:pPr>
        <w:pStyle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绩效目标2：创新载体机制，优化政务服务能力。</w:t>
      </w:r>
    </w:p>
    <w:p>
      <w:pPr>
        <w:pStyle w:val="9"/>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绩效目标3：加强组织统筹，服务经济社会发展。</w:t>
      </w:r>
    </w:p>
    <w:p>
      <w:pPr>
        <w:pStyle w:val="9"/>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绩效目标4：着眼科学发展，强化自身整体建设。</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_GB2312"/>
          <w:kern w:val="0"/>
          <w:sz w:val="30"/>
          <w:szCs w:val="30"/>
        </w:rPr>
        <w:t>项目绩效自评得分为</w:t>
      </w:r>
      <w:r>
        <w:rPr>
          <w:rFonts w:hint="eastAsia" w:ascii="仿宋" w:hAnsi="仿宋" w:eastAsia="仿宋" w:cs="仿宋_GB2312"/>
          <w:kern w:val="0"/>
          <w:sz w:val="30"/>
          <w:szCs w:val="30"/>
          <w:lang w:val="en-US" w:eastAsia="zh-CN"/>
        </w:rPr>
        <w:t>90.22</w:t>
      </w:r>
      <w:r>
        <w:rPr>
          <w:rFonts w:hint="eastAsia" w:ascii="仿宋" w:hAnsi="仿宋" w:eastAsia="仿宋" w:cs="仿宋_GB2312"/>
          <w:kern w:val="0"/>
          <w:sz w:val="30"/>
          <w:szCs w:val="30"/>
        </w:rPr>
        <w:t>分。</w:t>
      </w:r>
      <w:r>
        <w:rPr>
          <w:rFonts w:hint="eastAsia" w:ascii="仿宋" w:hAnsi="仿宋" w:eastAsia="仿宋" w:cs="仿宋_GB2312"/>
          <w:kern w:val="0"/>
          <w:sz w:val="30"/>
          <w:szCs w:val="30"/>
          <w:lang w:eastAsia="zh-CN"/>
        </w:rPr>
        <w:t>整体</w:t>
      </w:r>
      <w:r>
        <w:rPr>
          <w:rFonts w:hint="eastAsia" w:ascii="仿宋" w:hAnsi="仿宋" w:eastAsia="仿宋" w:cs="仿宋_GB2312"/>
          <w:kern w:val="0"/>
          <w:sz w:val="30"/>
          <w:szCs w:val="30"/>
        </w:rPr>
        <w:t>全年预算数为</w:t>
      </w:r>
      <w:r>
        <w:rPr>
          <w:rFonts w:hint="eastAsia" w:ascii="仿宋" w:hAnsi="仿宋" w:eastAsia="仿宋" w:cs="仿宋_GB2312"/>
          <w:kern w:val="0"/>
          <w:sz w:val="30"/>
          <w:szCs w:val="30"/>
          <w:lang w:val="en-US" w:eastAsia="zh-CN"/>
        </w:rPr>
        <w:t>2196.9</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2759.07</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125.58</w:t>
      </w:r>
      <w:r>
        <w:rPr>
          <w:rFonts w:hint="eastAsia" w:ascii="仿宋" w:hAnsi="仿宋" w:eastAsia="仿宋" w:cs="仿宋_GB2312"/>
          <w:kern w:val="0"/>
          <w:sz w:val="30"/>
          <w:szCs w:val="30"/>
        </w:rPr>
        <w:t>%。主要产出和效果：</w:t>
      </w:r>
      <w:r>
        <w:rPr>
          <w:rFonts w:hint="eastAsia" w:ascii="仿宋" w:hAnsi="仿宋" w:eastAsia="仿宋" w:cs="仿宋"/>
          <w:kern w:val="2"/>
          <w:sz w:val="28"/>
          <w:szCs w:val="28"/>
          <w:lang w:val="en-US" w:eastAsia="zh-CN" w:bidi="ar-SA"/>
        </w:rPr>
        <w:t>一、当好参谋助手，提高政务保障水平。充分发挥综合组织协调职能。一是围绕综合协调，发挥中枢作用。二是围绕领导决策，搞好文稿服务。三是完善重大事项科学决策机制。充分发挥政务调研献策职能。一是指导干部职工根据调研任务，深入基层和项目一线进行实地调研。二是组织办公室干部职工围绕全市中心工作赴赣州、新余、上海靖安区等省内外开展专题调研活动，学习借鉴其他地市的先进经验。三是组织市政府参事围绕市委市政府中心工作，开展调查研究，收集调研课题8个，为政府科学决策、依法决策提供智力支持。发挥信息纽带辅政职能。一是做好政务信息工作。二是做好值班信息收集报送工作。三是做好政府公报发行工作。发挥精文优会保障职能。一是优化公文办理。二是提升办会效能。发挥重大事项督查职能。一是紧盯市委市政府重大决策部署。二是认真抓好上级督查任务的承转反馈。三是快速落实各类重要会议确定事项及领导批办事项。四是创新督查方式。五是狠抓建议提案办理。</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创新载体机制，优化政务服务能力。强化三大建设：强化政务服务平台建设。二是全面深化“放管服”改革。三是推进简政放权。印发《景德镇市机构改革实施方案》《景德镇市人民政府办公室关于清理报送行政权力清单的通知》，对市政府机构和职能进行了调整优化。另一方面，进一步深化行政审批制度改革，规范我市市场中介行为，有效破除“红顶中介”。强化政府工作法制化建设。积极开展对规范性文件的审查和清理，认真做好政府规范性文件的审核备案工作。推行政府法律顾问制度。强化政务公开体制机制建设。一是制定下发了《2019年景德镇市政务公开工作要点》，对市政府门户网站相关栏目进行了优化调整，与省政府政务公开第三方公司进行政务公开第三方监测合作。二是做好政府网站信息保障工作。三是做好机房的安全管理工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加强组织统筹，服务经济社会发展。树立“项目为王”理念，服务重点项目建设。强化产业支撑，服务产业转型升级。聚焦破除瓶颈制约，服务改革创新。提升城市功能和品质，服务“双创双修”。积极谋划民生实事，服务民生事业。推进“映山红行动”，服务金融市场。</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着眼科学发展，强化自身整体建设。结合自身工作特点，加强思想建设、制度建设、作风建设、组织建设，为办公室各项事业科学、健康、可持续发展提供保障。推进机关作风建设。深化学习型机关建设。加强干部队伍建设。扎实开展对口帮扶工作。强化后勤保障服务。</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_GB2312"/>
          <w:kern w:val="0"/>
          <w:sz w:val="30"/>
          <w:szCs w:val="30"/>
        </w:rPr>
        <w:t>发现的问题及原因：</w:t>
      </w:r>
      <w:r>
        <w:rPr>
          <w:rFonts w:hint="eastAsia" w:ascii="仿宋" w:hAnsi="仿宋" w:eastAsia="仿宋" w:cs="仿宋"/>
          <w:kern w:val="2"/>
          <w:sz w:val="28"/>
          <w:szCs w:val="28"/>
          <w:lang w:val="en-US" w:eastAsia="zh-CN" w:bidi="ar-SA"/>
        </w:rPr>
        <w:t xml:space="preserve">1、预算绩效目标设置有待改进的地方。部门整体支出绩效目标缺乏基础和依据，预算精确度不高，缺乏分项预算金额。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2、绩效管理方面存在薄弱环节，项目进度跟踪存在不及时的现象。</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3、干部队伍的整体素质待提高。适应新形势、推动新发展的创造能力待增强，机关效能应进一步提高。</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4、参谋服务作用发挥不够充分，在超前谋划、主动服务方面还应加强。</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_GB2312"/>
          <w:kern w:val="0"/>
          <w:sz w:val="30"/>
          <w:szCs w:val="30"/>
        </w:rPr>
        <w:t>下一步改进措施：</w:t>
      </w:r>
      <w:r>
        <w:rPr>
          <w:rFonts w:hint="eastAsia" w:ascii="仿宋" w:hAnsi="仿宋" w:eastAsia="仿宋" w:cs="仿宋"/>
          <w:kern w:val="2"/>
          <w:sz w:val="28"/>
          <w:szCs w:val="28"/>
          <w:lang w:val="en-US" w:eastAsia="zh-CN" w:bidi="ar-SA"/>
        </w:rPr>
        <w:t>1，提高对全面预算管理的重视程度。建立以绩效为导向的预算编制模式，借鉴其他部门在绩效管理方面的经验和做法，制定绩效管理制度，并将其贯彻到预算申请、预算分配、项目实施和绩效考评的全过程。</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2，实施预算进度跟踪，合理支出预算资金，做到目标管理与执行进度跟踪统一，项目产出与效益管理的统一。</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3、进一步提高决策服务水平。提升办公室干部职工的文字写作能力，起草好市政府领导的讲话和各类综合性材料。办公室干部职工要深入一线和基层开展调研。加大我市信息报送质量审查，进一步提升国务院</w:t>
      </w:r>
      <w:bookmarkStart w:id="0" w:name="_GoBack"/>
      <w:r>
        <w:rPr>
          <w:rFonts w:hint="eastAsia" w:ascii="仿宋" w:hAnsi="仿宋" w:eastAsia="仿宋" w:cs="仿宋"/>
          <w:kern w:val="2"/>
          <w:sz w:val="28"/>
          <w:szCs w:val="28"/>
          <w:lang w:val="en-US" w:eastAsia="zh-CN" w:bidi="ar-SA"/>
        </w:rPr>
        <w:t>办公厅</w:t>
      </w:r>
      <w:bookmarkEnd w:id="0"/>
      <w:r>
        <w:rPr>
          <w:rFonts w:hint="eastAsia" w:ascii="仿宋" w:hAnsi="仿宋" w:eastAsia="仿宋" w:cs="仿宋"/>
          <w:kern w:val="2"/>
          <w:sz w:val="28"/>
          <w:szCs w:val="28"/>
          <w:lang w:val="en-US" w:eastAsia="zh-CN" w:bidi="ar-SA"/>
        </w:rPr>
        <w:t>和省政府办公厅对我市信息的采用量。</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进一步发挥推动发展作用。热情主动地为各级领导、部门和群众做好服务，保障全市政务工作高效有序运转。运用“互联网+督查”的方式，围绕我市经济社会发展大局，进一步加强中央、省交办事项以及我市相关重点工作的督查。同时积极与市委督查室联系对接，构建大督查格局。加大服务景德镇国家陶瓷文化传承创新试验区建设的力度。</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进一步提升机关行政效能。进一步精简政府系统各类文件和会议数量，提升办理质量，切实减轻基层负担。加强档案管理工作,对2010年及以前的各类档案进行数字化，并移交档案馆统一管理。梳理2012年以来省部级及以上领导来景德镇参加的重大活动资料，并移交市档案馆。规范单位机关事务管理。做好应急值守工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进一步增强依法行政能力。继续推进政府法制建设，完善政府文件规范性、合法性审查工作。以推进“五型”政府建设为抓手，不断推动政务服务便民化，进一步激发市场活力和社会创造力，不断增加人民群众和企业的获得感，打造“最好、最快”景德镇政务服务，持续推进高质量跨越式发展政务服务工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7、在队伍建设上狠下功夫。抓好干部职工学习培训工作，提高服务社会发展的能力，加强党风廉政建设，提升干部的服务意识，增强责任感和商业心。</w:t>
      </w:r>
    </w:p>
    <w:p/>
    <w:p>
      <w:pPr>
        <w:rPr>
          <w:rFonts w:hint="eastAsia" w:eastAsia="宋体"/>
          <w:lang w:eastAsia="zh-CN"/>
        </w:rPr>
      </w:pPr>
      <w:r>
        <w:rPr>
          <w:rFonts w:hint="eastAsia" w:eastAsia="宋体"/>
          <w:lang w:eastAsia="zh-CN"/>
        </w:rPr>
        <w:drawing>
          <wp:inline distT="0" distB="0" distL="114300" distR="114300">
            <wp:extent cx="4269105" cy="8844280"/>
            <wp:effectExtent l="0" t="0" r="17145" b="13970"/>
            <wp:docPr id="1" name="图片 1" descr="1602645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02645036(1)"/>
                    <pic:cNvPicPr>
                      <a:picLocks noChangeAspect="1"/>
                    </pic:cNvPicPr>
                  </pic:nvPicPr>
                  <pic:blipFill>
                    <a:blip r:embed="rId5"/>
                    <a:stretch>
                      <a:fillRect/>
                    </a:stretch>
                  </pic:blipFill>
                  <pic:spPr>
                    <a:xfrm>
                      <a:off x="0" y="0"/>
                      <a:ext cx="4269105" cy="8844280"/>
                    </a:xfrm>
                    <a:prstGeom prst="rect">
                      <a:avLst/>
                    </a:prstGeom>
                  </pic:spPr>
                </pic:pic>
              </a:graphicData>
            </a:graphic>
          </wp:inline>
        </w:drawing>
      </w:r>
    </w:p>
    <w:p>
      <w:pPr>
        <w:jc w:val="center"/>
        <w:rPr>
          <w:rFonts w:hint="eastAsia" w:ascii="宋体" w:hAnsi="宋体"/>
          <w:b/>
          <w:sz w:val="32"/>
          <w:szCs w:val="32"/>
        </w:rPr>
      </w:pPr>
      <w:r>
        <w:rPr>
          <w:rFonts w:hint="eastAsia" w:ascii="宋体" w:hAnsi="宋体"/>
          <w:b/>
          <w:sz w:val="32"/>
          <w:szCs w:val="32"/>
        </w:rPr>
        <w:t>第四部分  名词解释</w:t>
      </w:r>
    </w:p>
    <w:p>
      <w:pPr>
        <w:pStyle w:val="6"/>
        <w:spacing w:line="600" w:lineRule="atLeast"/>
        <w:ind w:firstLine="600"/>
        <w:rPr>
          <w:rFonts w:hint="eastAsia" w:ascii="仿宋" w:hAnsi="仿宋" w:eastAsia="仿宋"/>
          <w:sz w:val="30"/>
          <w:szCs w:val="30"/>
        </w:rPr>
      </w:pPr>
    </w:p>
    <w:p>
      <w:pPr>
        <w:spacing w:line="600" w:lineRule="exact"/>
        <w:ind w:firstLine="600" w:firstLineChars="200"/>
        <w:rPr>
          <w:rFonts w:hint="default" w:eastAsia="仿宋_GB2312"/>
          <w:sz w:val="32"/>
          <w:szCs w:val="32"/>
          <w:lang w:val="en-US"/>
        </w:rPr>
      </w:pPr>
      <w:r>
        <w:rPr>
          <w:rFonts w:hint="eastAsia" w:ascii="仿宋" w:hAnsi="仿宋" w:eastAsia="仿宋"/>
          <w:kern w:val="0"/>
          <w:sz w:val="30"/>
          <w:szCs w:val="30"/>
        </w:rPr>
        <w:t xml:space="preserve">      </w:t>
      </w:r>
      <w:r>
        <w:rPr>
          <w:rFonts w:hint="eastAsia" w:eastAsia="仿宋_GB2312"/>
          <w:sz w:val="32"/>
          <w:szCs w:val="32"/>
          <w:lang w:val="en-US" w:eastAsia="zh-CN"/>
        </w:rPr>
        <w:t>一、收入科目</w:t>
      </w:r>
    </w:p>
    <w:p>
      <w:pPr>
        <w:spacing w:line="600" w:lineRule="exact"/>
        <w:ind w:firstLine="640" w:firstLineChars="200"/>
        <w:rPr>
          <w:rFonts w:hint="default" w:eastAsia="仿宋_GB2312"/>
          <w:sz w:val="32"/>
          <w:szCs w:val="32"/>
          <w:lang w:val="en-US"/>
        </w:rPr>
      </w:pPr>
      <w:r>
        <w:rPr>
          <w:rFonts w:hint="default" w:eastAsia="仿宋_GB2312"/>
          <w:sz w:val="32"/>
          <w:szCs w:val="32"/>
          <w:lang w:val="en-US" w:eastAsia="zh-CN"/>
        </w:rPr>
        <w:t xml:space="preserve">  （一）财政拨款：指省级财政当年拨付的资金。</w:t>
      </w:r>
    </w:p>
    <w:p>
      <w:pPr>
        <w:spacing w:line="600" w:lineRule="exact"/>
        <w:ind w:firstLine="640" w:firstLineChars="200"/>
        <w:rPr>
          <w:rFonts w:hint="default" w:eastAsia="仿宋_GB2312"/>
          <w:sz w:val="32"/>
          <w:szCs w:val="32"/>
          <w:lang w:val="en-US"/>
        </w:rPr>
      </w:pPr>
      <w:r>
        <w:rPr>
          <w:rFonts w:hint="default" w:eastAsia="仿宋_GB2312"/>
          <w:sz w:val="32"/>
          <w:szCs w:val="32"/>
          <w:lang w:val="en-US" w:eastAsia="zh-CN"/>
        </w:rPr>
        <w:t xml:space="preserve">  （二）其他收入：指除财政补助拨款、事业收入、事业单位经营收入等以外的各项收入。</w:t>
      </w:r>
    </w:p>
    <w:p>
      <w:pPr>
        <w:spacing w:line="600" w:lineRule="exact"/>
        <w:ind w:firstLine="960" w:firstLineChars="300"/>
        <w:rPr>
          <w:rFonts w:hint="default" w:eastAsia="仿宋_GB2312"/>
          <w:sz w:val="32"/>
          <w:szCs w:val="32"/>
          <w:lang w:val="en-US"/>
        </w:rPr>
      </w:pPr>
      <w:r>
        <w:rPr>
          <w:rFonts w:hint="default" w:eastAsia="仿宋_GB2312"/>
          <w:sz w:val="32"/>
          <w:szCs w:val="32"/>
          <w:lang w:val="en-US" w:eastAsia="zh-CN"/>
        </w:rPr>
        <w:t>（</w:t>
      </w:r>
      <w:r>
        <w:rPr>
          <w:rFonts w:hint="eastAsia" w:eastAsia="仿宋_GB2312"/>
          <w:sz w:val="32"/>
          <w:szCs w:val="32"/>
          <w:lang w:val="en-US" w:eastAsia="zh-CN"/>
        </w:rPr>
        <w:t>三</w:t>
      </w:r>
      <w:r>
        <w:rPr>
          <w:rFonts w:hint="default" w:eastAsia="仿宋_GB2312"/>
          <w:sz w:val="32"/>
          <w:szCs w:val="32"/>
          <w:lang w:val="en-US" w:eastAsia="zh-CN"/>
        </w:rPr>
        <w:t>）上年结转和结余：填列</w:t>
      </w:r>
      <w:r>
        <w:rPr>
          <w:rFonts w:hint="eastAsia" w:eastAsia="仿宋_GB2312"/>
          <w:sz w:val="32"/>
          <w:szCs w:val="32"/>
          <w:lang w:val="en-US" w:eastAsia="zh-CN"/>
        </w:rPr>
        <w:t>2018</w:t>
      </w:r>
      <w:r>
        <w:rPr>
          <w:rFonts w:hint="default" w:eastAsia="仿宋_GB2312"/>
          <w:sz w:val="32"/>
          <w:szCs w:val="32"/>
          <w:lang w:val="en-US" w:eastAsia="zh-CN"/>
        </w:rPr>
        <w:t>年全部结转和结余的资金数，包括当年结转结余资金和历年滚存结存结余资金。</w:t>
      </w:r>
    </w:p>
    <w:p>
      <w:pPr>
        <w:spacing w:line="600" w:lineRule="exact"/>
        <w:ind w:firstLine="640" w:firstLineChars="200"/>
        <w:rPr>
          <w:rFonts w:hint="default" w:eastAsia="仿宋_GB2312"/>
          <w:sz w:val="32"/>
          <w:szCs w:val="32"/>
          <w:lang w:val="en-US"/>
        </w:rPr>
      </w:pPr>
      <w:r>
        <w:rPr>
          <w:rFonts w:hint="default" w:eastAsia="仿宋_GB2312"/>
          <w:sz w:val="32"/>
          <w:szCs w:val="32"/>
          <w:lang w:val="en-US" w:eastAsia="zh-CN"/>
        </w:rPr>
        <w:t>二、支出科目</w:t>
      </w:r>
    </w:p>
    <w:p>
      <w:pPr>
        <w:widowControl/>
        <w:spacing w:line="600" w:lineRule="exact"/>
        <w:ind w:firstLine="640"/>
        <w:jc w:val="left"/>
        <w:rPr>
          <w:rFonts w:hint="eastAsia" w:ascii="仿宋_GB2312" w:hAnsi="宋体" w:eastAsia="仿宋_GB2312" w:cs="仿宋_GB2312"/>
          <w:sz w:val="32"/>
          <w:szCs w:val="32"/>
        </w:rPr>
      </w:pPr>
      <w:r>
        <w:rPr>
          <w:rFonts w:hint="default" w:eastAsia="仿宋_GB2312"/>
          <w:sz w:val="32"/>
          <w:szCs w:val="32"/>
          <w:lang w:val="en-US" w:eastAsia="zh-CN"/>
        </w:rPr>
        <w:t xml:space="preserve">  </w:t>
      </w: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一</w:t>
      </w:r>
      <w:r>
        <w:rPr>
          <w:rFonts w:hint="eastAsia" w:ascii="仿宋_GB2312" w:eastAsia="仿宋_GB2312"/>
          <w:color w:val="000000"/>
          <w:sz w:val="32"/>
          <w:szCs w:val="30"/>
        </w:rPr>
        <w:t>）</w:t>
      </w:r>
      <w:r>
        <w:rPr>
          <w:rFonts w:hint="eastAsia" w:ascii="仿宋_GB2312" w:hAnsi="宋体" w:eastAsia="仿宋_GB2312" w:cs="仿宋_GB2312"/>
          <w:sz w:val="32"/>
          <w:szCs w:val="32"/>
        </w:rPr>
        <w:t>一般公共服务（类）</w:t>
      </w:r>
      <w:r>
        <w:rPr>
          <w:rFonts w:hint="eastAsia" w:ascii="仿宋_GB2312" w:hAnsi="宋体" w:eastAsia="仿宋_GB2312" w:cs="仿宋_GB2312"/>
          <w:sz w:val="32"/>
          <w:szCs w:val="32"/>
          <w:lang w:eastAsia="zh-CN"/>
        </w:rPr>
        <w:t>政府办公厅（室）及相关机构事务</w:t>
      </w:r>
      <w:r>
        <w:rPr>
          <w:rFonts w:hint="eastAsia" w:ascii="仿宋_GB2312" w:hAnsi="宋体" w:eastAsia="仿宋_GB2312" w:cs="仿宋_GB2312"/>
          <w:sz w:val="32"/>
          <w:szCs w:val="32"/>
        </w:rPr>
        <w:t>（款）</w:t>
      </w:r>
    </w:p>
    <w:p>
      <w:pPr>
        <w:widowControl/>
        <w:spacing w:line="600" w:lineRule="exact"/>
        <w:ind w:firstLine="640"/>
        <w:jc w:val="left"/>
        <w:rPr>
          <w:rFonts w:hint="eastAsia" w:ascii="仿宋_GB2312" w:hAnsi="宋体" w:eastAsia="仿宋_GB2312" w:cs="仿宋_GB2312"/>
          <w:sz w:val="32"/>
          <w:szCs w:val="32"/>
        </w:rPr>
      </w:pPr>
      <w:r>
        <w:rPr>
          <w:rFonts w:hint="eastAsia" w:ascii="仿宋_GB2312" w:hAnsi="宋体" w:eastAsia="仿宋_GB2312" w:cs="仿宋_GB2312"/>
          <w:sz w:val="32"/>
          <w:szCs w:val="32"/>
        </w:rPr>
        <w:t>行政运行（项）：反映行政单位（包括实行公务员管理的事业单位）的基本支出。</w:t>
      </w:r>
    </w:p>
    <w:p>
      <w:pPr>
        <w:ind w:firstLine="562"/>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其他政府办公</w:t>
      </w:r>
      <w:r>
        <w:rPr>
          <w:rFonts w:hint="eastAsia" w:ascii="仿宋_GB2312" w:hAnsi="宋体" w:eastAsia="仿宋_GB2312" w:cs="仿宋_GB2312"/>
          <w:sz w:val="32"/>
          <w:szCs w:val="32"/>
          <w:lang w:val="en-US" w:eastAsia="zh-CN"/>
        </w:rPr>
        <w:t>厅</w:t>
      </w:r>
      <w:r>
        <w:rPr>
          <w:rFonts w:hint="eastAsia" w:ascii="仿宋_GB2312" w:hAnsi="宋体" w:eastAsia="仿宋_GB2312" w:cs="仿宋_GB2312"/>
          <w:sz w:val="32"/>
          <w:szCs w:val="32"/>
        </w:rPr>
        <w:t>（室）及相关机构事务支出事务支出（项）：反映除上述项目以外的其他政府办公厅（室）及相关机构事务支出</w:t>
      </w:r>
      <w:r>
        <w:rPr>
          <w:rFonts w:hint="eastAsia" w:ascii="仿宋_GB2312" w:hAnsi="宋体" w:eastAsia="仿宋_GB2312" w:cs="仿宋_GB2312"/>
          <w:sz w:val="32"/>
          <w:szCs w:val="32"/>
          <w:lang w:eastAsia="zh-CN"/>
        </w:rPr>
        <w:t>。</w:t>
      </w:r>
    </w:p>
    <w:p>
      <w:pPr>
        <w:spacing w:line="600" w:lineRule="exact"/>
        <w:ind w:firstLine="960" w:firstLineChars="300"/>
        <w:rPr>
          <w:rFonts w:hint="default" w:eastAsia="仿宋_GB2312"/>
          <w:sz w:val="32"/>
          <w:szCs w:val="32"/>
          <w:lang w:val="en-US" w:eastAsia="zh-CN"/>
        </w:rPr>
      </w:pPr>
      <w:r>
        <w:rPr>
          <w:rFonts w:hint="default" w:eastAsia="仿宋_GB2312"/>
          <w:sz w:val="32"/>
          <w:szCs w:val="32"/>
          <w:lang w:val="en-US" w:eastAsia="zh-CN"/>
        </w:rPr>
        <w:t>（</w:t>
      </w:r>
      <w:r>
        <w:rPr>
          <w:rFonts w:hint="eastAsia" w:eastAsia="仿宋_GB2312"/>
          <w:sz w:val="32"/>
          <w:szCs w:val="32"/>
          <w:lang w:val="en-US" w:eastAsia="zh-CN"/>
        </w:rPr>
        <w:t>二</w:t>
      </w:r>
      <w:r>
        <w:rPr>
          <w:rFonts w:hint="default" w:eastAsia="仿宋_GB2312"/>
          <w:sz w:val="32"/>
          <w:szCs w:val="32"/>
          <w:lang w:val="en-US" w:eastAsia="zh-CN"/>
        </w:rPr>
        <w:t>）社会保障和就业支出（类）行政事业单位离退休（款）机关事业单位基本养老保险缴费支出（项）：反映机关事业单位实施养老保险制度由单位缴纳的基本养老保险费支出。</w:t>
      </w:r>
    </w:p>
    <w:p>
      <w:pPr>
        <w:spacing w:line="600" w:lineRule="exact"/>
        <w:ind w:firstLine="960" w:firstLineChars="300"/>
        <w:rPr>
          <w:rFonts w:hint="eastAsia" w:ascii="仿宋_GB2312" w:eastAsia="仿宋_GB2312"/>
          <w:color w:val="000000"/>
          <w:sz w:val="32"/>
          <w:szCs w:val="30"/>
        </w:rPr>
      </w:pPr>
      <w:r>
        <w:rPr>
          <w:rFonts w:hint="default" w:eastAsia="仿宋_GB2312"/>
          <w:sz w:val="32"/>
          <w:szCs w:val="32"/>
          <w:lang w:val="en-US" w:eastAsia="zh-CN"/>
        </w:rPr>
        <w:t>（</w:t>
      </w:r>
      <w:r>
        <w:rPr>
          <w:rFonts w:hint="eastAsia" w:eastAsia="仿宋_GB2312"/>
          <w:sz w:val="32"/>
          <w:szCs w:val="32"/>
          <w:lang w:val="en-US" w:eastAsia="zh-CN"/>
        </w:rPr>
        <w:t>三</w:t>
      </w:r>
      <w:r>
        <w:rPr>
          <w:rFonts w:hint="default" w:eastAsia="仿宋_GB2312"/>
          <w:sz w:val="32"/>
          <w:szCs w:val="32"/>
          <w:lang w:val="en-US" w:eastAsia="zh-CN"/>
        </w:rPr>
        <w:t>）</w:t>
      </w:r>
      <w:r>
        <w:rPr>
          <w:rFonts w:hint="eastAsia" w:ascii="仿宋_GB2312" w:eastAsia="仿宋_GB2312"/>
          <w:color w:val="000000"/>
          <w:sz w:val="32"/>
          <w:szCs w:val="30"/>
        </w:rPr>
        <w:t>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pPr>
        <w:numPr>
          <w:ilvl w:val="0"/>
          <w:numId w:val="0"/>
        </w:numPr>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公务员医疗补助（项）:反映财政部门安排的公务员医疗补助经费。</w:t>
      </w:r>
    </w:p>
    <w:p>
      <w:pPr>
        <w:numPr>
          <w:ilvl w:val="0"/>
          <w:numId w:val="0"/>
        </w:numPr>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其他行政事业单位支出（项）:反映除上述项目以外的其他用于行政事业单位医疗方面的支出。</w:t>
      </w:r>
    </w:p>
    <w:p>
      <w:pPr>
        <w:numPr>
          <w:ilvl w:val="0"/>
          <w:numId w:val="0"/>
        </w:numPr>
        <w:ind w:left="562" w:leftChars="0"/>
        <w:rPr>
          <w:rFonts w:hint="eastAsia" w:ascii="仿宋_GB2312" w:eastAsia="仿宋_GB2312"/>
          <w:color w:val="000000"/>
          <w:sz w:val="32"/>
          <w:szCs w:val="30"/>
          <w:lang w:eastAsia="zh-CN"/>
        </w:rPr>
      </w:pPr>
      <w:r>
        <w:rPr>
          <w:rFonts w:hint="default" w:eastAsia="仿宋_GB2312"/>
          <w:sz w:val="32"/>
          <w:szCs w:val="32"/>
          <w:lang w:val="en-US" w:eastAsia="zh-CN"/>
        </w:rPr>
        <w:t>（</w:t>
      </w:r>
      <w:r>
        <w:rPr>
          <w:rFonts w:hint="eastAsia" w:eastAsia="仿宋_GB2312"/>
          <w:sz w:val="32"/>
          <w:szCs w:val="32"/>
          <w:lang w:val="en-US" w:eastAsia="zh-CN"/>
        </w:rPr>
        <w:t>四</w:t>
      </w:r>
      <w:r>
        <w:rPr>
          <w:rFonts w:hint="default" w:eastAsia="仿宋_GB2312"/>
          <w:sz w:val="32"/>
          <w:szCs w:val="32"/>
          <w:lang w:val="en-US" w:eastAsia="zh-CN"/>
        </w:rPr>
        <w:t>）</w:t>
      </w:r>
      <w:r>
        <w:rPr>
          <w:rFonts w:hint="eastAsia" w:ascii="仿宋_GB2312" w:eastAsia="仿宋_GB2312"/>
          <w:color w:val="000000"/>
          <w:sz w:val="32"/>
          <w:szCs w:val="30"/>
          <w:lang w:eastAsia="zh-CN"/>
        </w:rPr>
        <w:t>住房保障支出（类）住房改革支出（款）</w:t>
      </w:r>
    </w:p>
    <w:p>
      <w:pPr>
        <w:numPr>
          <w:ilvl w:val="0"/>
          <w:numId w:val="0"/>
        </w:numPr>
        <w:ind w:firstLine="640" w:firstLineChars="200"/>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住房公积金（项）:反映行政事业单位按人力资源和社会保障部、财政部规定的基本工资和津贴补贴以及规定比例为职工缴纳的住房公积金。</w:t>
      </w:r>
    </w:p>
    <w:p>
      <w:pPr>
        <w:spacing w:line="600" w:lineRule="exact"/>
        <w:rPr>
          <w:rFonts w:hint="eastAsia" w:eastAsia="仿宋_GB2312"/>
          <w:sz w:val="32"/>
          <w:szCs w:val="32"/>
          <w:lang w:val="en-US"/>
        </w:rPr>
      </w:pPr>
      <w:r>
        <w:rPr>
          <w:rFonts w:hint="default" w:eastAsia="仿宋_GB2312"/>
          <w:sz w:val="32"/>
          <w:szCs w:val="32"/>
          <w:lang w:val="en-US"/>
        </w:rPr>
        <w:t xml:space="preserve">   </w:t>
      </w:r>
      <w:r>
        <w:rPr>
          <w:rFonts w:hint="eastAsia" w:eastAsia="仿宋_GB2312"/>
          <w:sz w:val="32"/>
          <w:szCs w:val="32"/>
          <w:lang w:val="en-US" w:eastAsia="zh-CN"/>
        </w:rPr>
        <w:t xml:space="preserve"> </w:t>
      </w:r>
      <w:r>
        <w:rPr>
          <w:rFonts w:hint="default" w:eastAsia="仿宋_GB2312"/>
          <w:sz w:val="32"/>
          <w:szCs w:val="32"/>
        </w:rPr>
        <w:t>（</w:t>
      </w:r>
      <w:r>
        <w:rPr>
          <w:rFonts w:hint="eastAsia" w:eastAsia="仿宋_GB2312"/>
          <w:sz w:val="32"/>
          <w:szCs w:val="32"/>
          <w:lang w:val="en-US" w:eastAsia="zh-CN"/>
        </w:rPr>
        <w:t>五</w:t>
      </w:r>
      <w:r>
        <w:rPr>
          <w:rFonts w:hint="default" w:eastAsia="仿宋_GB2312"/>
          <w:sz w:val="32"/>
          <w:szCs w:val="32"/>
        </w:rPr>
        <w:t>）</w:t>
      </w:r>
      <w:r>
        <w:rPr>
          <w:rFonts w:hint="default" w:eastAsia="仿宋_GB2312"/>
          <w:sz w:val="32"/>
          <w:szCs w:val="32"/>
          <w:lang w:val="en-US"/>
        </w:rPr>
        <w:t>“</w:t>
      </w:r>
      <w:r>
        <w:rPr>
          <w:rFonts w:hint="eastAsia" w:eastAsia="仿宋_GB2312"/>
          <w:sz w:val="32"/>
          <w:szCs w:val="32"/>
        </w:rPr>
        <w:t>三公经费</w:t>
      </w:r>
      <w:r>
        <w:rPr>
          <w:rFonts w:hint="default" w:eastAsia="仿宋_GB2312"/>
          <w:sz w:val="32"/>
          <w:szCs w:val="32"/>
          <w:lang w:val="en-US"/>
        </w:rPr>
        <w:t>”</w:t>
      </w:r>
      <w:r>
        <w:rPr>
          <w:rFonts w:hint="eastAsia" w:eastAsia="仿宋_GB2312"/>
          <w:sz w:val="32"/>
          <w:szCs w:val="32"/>
        </w:rPr>
        <w:t>：纳入财政预决算管理的</w:t>
      </w:r>
      <w:r>
        <w:rPr>
          <w:rFonts w:hint="default" w:eastAsia="仿宋_GB2312"/>
          <w:sz w:val="32"/>
          <w:szCs w:val="32"/>
          <w:lang w:val="en-US"/>
        </w:rPr>
        <w:t>“</w:t>
      </w:r>
      <w:r>
        <w:rPr>
          <w:rFonts w:hint="eastAsia" w:eastAsia="仿宋_GB2312"/>
          <w:sz w:val="32"/>
          <w:szCs w:val="32"/>
        </w:rPr>
        <w:t>三公</w:t>
      </w:r>
      <w:r>
        <w:rPr>
          <w:rFonts w:hint="default" w:eastAsia="仿宋_GB2312"/>
          <w:sz w:val="32"/>
          <w:szCs w:val="32"/>
          <w:lang w:val="en-US"/>
        </w:rPr>
        <w:t>”</w:t>
      </w:r>
      <w:r>
        <w:rPr>
          <w:rFonts w:hint="eastAsia" w:eastAsia="仿宋_GB2312"/>
          <w:sz w:val="32"/>
          <w:szCs w:val="32"/>
        </w:rPr>
        <w:t>经费，是指部门用财政拨款安排的因公出国</w:t>
      </w:r>
      <w:r>
        <w:rPr>
          <w:rFonts w:hint="eastAsia" w:eastAsia="仿宋_GB2312"/>
          <w:sz w:val="32"/>
          <w:szCs w:val="32"/>
          <w:lang w:val="en-US"/>
        </w:rPr>
        <w:t>(</w:t>
      </w:r>
      <w:r>
        <w:rPr>
          <w:rFonts w:hint="eastAsia" w:eastAsia="仿宋_GB2312"/>
          <w:sz w:val="32"/>
          <w:szCs w:val="32"/>
        </w:rPr>
        <w:t>境</w:t>
      </w:r>
      <w:r>
        <w:rPr>
          <w:rFonts w:hint="eastAsia" w:eastAsia="仿宋_GB2312"/>
          <w:sz w:val="32"/>
          <w:szCs w:val="32"/>
          <w:lang w:val="en-US"/>
        </w:rPr>
        <w:t>)</w:t>
      </w:r>
      <w:r>
        <w:rPr>
          <w:rFonts w:hint="eastAsia" w:eastAsia="仿宋_GB2312"/>
          <w:sz w:val="32"/>
          <w:szCs w:val="32"/>
        </w:rPr>
        <w:t>费、公务用车购置及运行费和公务接待费。其中，因公出国</w:t>
      </w:r>
      <w:r>
        <w:rPr>
          <w:rFonts w:hint="eastAsia" w:eastAsia="仿宋_GB2312"/>
          <w:sz w:val="32"/>
          <w:szCs w:val="32"/>
          <w:lang w:val="en-US"/>
        </w:rPr>
        <w:t>(</w:t>
      </w:r>
      <w:r>
        <w:rPr>
          <w:rFonts w:hint="eastAsia" w:eastAsia="仿宋_GB2312"/>
          <w:sz w:val="32"/>
          <w:szCs w:val="32"/>
        </w:rPr>
        <w:t>境</w:t>
      </w:r>
      <w:r>
        <w:rPr>
          <w:rFonts w:hint="eastAsia" w:eastAsia="仿宋_GB2312"/>
          <w:sz w:val="32"/>
          <w:szCs w:val="32"/>
          <w:lang w:val="en-US"/>
        </w:rPr>
        <w:t>)</w:t>
      </w:r>
      <w:r>
        <w:rPr>
          <w:rFonts w:hint="eastAsia" w:eastAsia="仿宋_GB2312"/>
          <w:sz w:val="32"/>
          <w:szCs w:val="32"/>
        </w:rPr>
        <w:t>费反映单位公务出国</w:t>
      </w:r>
      <w:r>
        <w:rPr>
          <w:rFonts w:hint="eastAsia" w:eastAsia="仿宋_GB2312"/>
          <w:sz w:val="32"/>
          <w:szCs w:val="32"/>
          <w:lang w:val="en-US"/>
        </w:rPr>
        <w:t>(</w:t>
      </w:r>
      <w:r>
        <w:rPr>
          <w:rFonts w:hint="eastAsia" w:eastAsia="仿宋_GB2312"/>
          <w:sz w:val="32"/>
          <w:szCs w:val="32"/>
        </w:rPr>
        <w:t>境</w:t>
      </w:r>
      <w:r>
        <w:rPr>
          <w:rFonts w:hint="eastAsia" w:eastAsia="仿宋_GB2312"/>
          <w:sz w:val="32"/>
          <w:szCs w:val="32"/>
          <w:lang w:val="en-US"/>
        </w:rPr>
        <w:t>)</w:t>
      </w:r>
      <w:r>
        <w:rPr>
          <w:rFonts w:hint="eastAsia" w:eastAsia="仿宋_GB2312"/>
          <w:sz w:val="32"/>
          <w:szCs w:val="32"/>
        </w:rPr>
        <w:t>的国际旅费、国外城市间交通费、住宿费、伙食费、培训费、公杂费等支出；公务用车购置及运行费反映单位公务用车车辆购置支出</w:t>
      </w:r>
      <w:r>
        <w:rPr>
          <w:rFonts w:hint="eastAsia" w:eastAsia="仿宋_GB2312"/>
          <w:sz w:val="32"/>
          <w:szCs w:val="32"/>
          <w:lang w:val="en-US"/>
        </w:rPr>
        <w:t>(</w:t>
      </w:r>
      <w:r>
        <w:rPr>
          <w:rFonts w:hint="eastAsia" w:eastAsia="仿宋_GB2312"/>
          <w:sz w:val="32"/>
          <w:szCs w:val="32"/>
        </w:rPr>
        <w:t>含车辆购置税</w:t>
      </w:r>
      <w:r>
        <w:rPr>
          <w:rFonts w:hint="eastAsia" w:eastAsia="仿宋_GB2312"/>
          <w:sz w:val="32"/>
          <w:szCs w:val="32"/>
          <w:lang w:val="en-US"/>
        </w:rPr>
        <w:t>)</w:t>
      </w:r>
      <w:r>
        <w:rPr>
          <w:rFonts w:hint="eastAsia" w:eastAsia="仿宋_GB2312"/>
          <w:sz w:val="32"/>
          <w:szCs w:val="32"/>
        </w:rPr>
        <w:t>及租用费、燃料费、维修费、过路过桥费、保险费、安全奖励费用等支出；公务接待费反映单位按规定开支的各类公务接待</w:t>
      </w:r>
      <w:r>
        <w:rPr>
          <w:rFonts w:hint="eastAsia" w:eastAsia="仿宋_GB2312"/>
          <w:sz w:val="32"/>
          <w:szCs w:val="32"/>
          <w:lang w:val="en-US"/>
        </w:rPr>
        <w:t>(</w:t>
      </w:r>
      <w:r>
        <w:rPr>
          <w:rFonts w:hint="eastAsia" w:eastAsia="仿宋_GB2312"/>
          <w:sz w:val="32"/>
          <w:szCs w:val="32"/>
        </w:rPr>
        <w:t>含外宾接待</w:t>
      </w:r>
      <w:r>
        <w:rPr>
          <w:rFonts w:hint="eastAsia" w:eastAsia="仿宋_GB2312"/>
          <w:sz w:val="32"/>
          <w:szCs w:val="32"/>
          <w:lang w:val="en-US"/>
        </w:rPr>
        <w:t>)</w:t>
      </w:r>
      <w:r>
        <w:rPr>
          <w:rFonts w:hint="eastAsia" w:eastAsia="仿宋_GB2312"/>
          <w:sz w:val="32"/>
          <w:szCs w:val="32"/>
        </w:rPr>
        <w:t>支出。</w:t>
      </w:r>
    </w:p>
    <w:p>
      <w:pPr>
        <w:spacing w:line="600" w:lineRule="exact"/>
        <w:ind w:firstLine="320" w:firstLineChars="100"/>
        <w:rPr>
          <w:rFonts w:hint="default" w:eastAsia="仿宋_GB2312"/>
          <w:sz w:val="32"/>
          <w:szCs w:val="32"/>
          <w:lang w:val="en-US"/>
        </w:rPr>
      </w:pPr>
      <w:r>
        <w:rPr>
          <w:rFonts w:hint="default" w:eastAsia="仿宋_GB2312"/>
          <w:sz w:val="32"/>
          <w:szCs w:val="32"/>
          <w:lang w:val="en-US"/>
        </w:rPr>
        <w:t xml:space="preserve"> </w:t>
      </w:r>
      <w:r>
        <w:rPr>
          <w:rFonts w:hint="eastAsia" w:eastAsia="仿宋_GB2312"/>
          <w:sz w:val="32"/>
          <w:szCs w:val="32"/>
          <w:lang w:val="en-US" w:eastAsia="zh-CN"/>
        </w:rPr>
        <w:t xml:space="preserve"> </w:t>
      </w:r>
      <w:r>
        <w:rPr>
          <w:rFonts w:hint="default" w:eastAsia="仿宋_GB2312"/>
          <w:sz w:val="32"/>
          <w:szCs w:val="32"/>
        </w:rPr>
        <w:t>（</w:t>
      </w:r>
      <w:r>
        <w:rPr>
          <w:rFonts w:hint="eastAsia" w:eastAsia="仿宋_GB2312"/>
          <w:sz w:val="32"/>
          <w:szCs w:val="32"/>
          <w:lang w:eastAsia="zh-CN"/>
        </w:rPr>
        <w:t>七</w:t>
      </w:r>
      <w:r>
        <w:rPr>
          <w:rFonts w:hint="default" w:eastAsia="仿宋_GB2312"/>
          <w:sz w:val="32"/>
          <w:szCs w:val="32"/>
        </w:rPr>
        <w:t>）机关运行经费：为保障行政单位</w:t>
      </w:r>
      <w:r>
        <w:rPr>
          <w:rFonts w:hint="default" w:eastAsia="仿宋_GB2312"/>
          <w:sz w:val="32"/>
          <w:szCs w:val="32"/>
          <w:lang w:val="en-US"/>
        </w:rPr>
        <w:t>(</w:t>
      </w:r>
      <w:r>
        <w:rPr>
          <w:rFonts w:hint="default" w:eastAsia="仿宋_GB2312"/>
          <w:sz w:val="32"/>
          <w:szCs w:val="32"/>
        </w:rPr>
        <w:t>包括实行公务员管理的事业单位</w:t>
      </w:r>
      <w:r>
        <w:rPr>
          <w:rFonts w:hint="default" w:eastAsia="仿宋_GB2312"/>
          <w:sz w:val="32"/>
          <w:szCs w:val="32"/>
          <w:lang w:val="en-US"/>
        </w:rPr>
        <w:t>)</w:t>
      </w:r>
      <w:r>
        <w:rPr>
          <w:rFonts w:hint="default" w:eastAsia="仿宋_GB2312"/>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EFB67"/>
    <w:multiLevelType w:val="singleLevel"/>
    <w:tmpl w:val="93DEFB67"/>
    <w:lvl w:ilvl="0" w:tentative="0">
      <w:start w:val="1"/>
      <w:numFmt w:val="chineseCounting"/>
      <w:suff w:val="nothing"/>
      <w:lvlText w:val="（%1）"/>
      <w:lvlJc w:val="left"/>
      <w:rPr>
        <w:rFonts w:hint="eastAsia"/>
      </w:rPr>
    </w:lvl>
  </w:abstractNum>
  <w:abstractNum w:abstractNumId="1">
    <w:nsid w:val="BA3E6206"/>
    <w:multiLevelType w:val="singleLevel"/>
    <w:tmpl w:val="BA3E6206"/>
    <w:lvl w:ilvl="0" w:tentative="0">
      <w:start w:val="1"/>
      <w:numFmt w:val="chineseCounting"/>
      <w:suff w:val="nothing"/>
      <w:lvlText w:val="（%1）"/>
      <w:lvlJc w:val="left"/>
      <w:rPr>
        <w:rFonts w:hint="eastAsia"/>
      </w:rPr>
    </w:lvl>
  </w:abstractNum>
  <w:abstractNum w:abstractNumId="2">
    <w:nsid w:val="D9B61CE9"/>
    <w:multiLevelType w:val="singleLevel"/>
    <w:tmpl w:val="D9B61CE9"/>
    <w:lvl w:ilvl="0" w:tentative="0">
      <w:start w:val="2"/>
      <w:numFmt w:val="chineseCounting"/>
      <w:suff w:val="space"/>
      <w:lvlText w:val="第%1部分"/>
      <w:lvlJc w:val="left"/>
      <w:rPr>
        <w:rFonts w:hint="eastAsia"/>
      </w:rPr>
    </w:lvl>
  </w:abstractNum>
  <w:abstractNum w:abstractNumId="3">
    <w:nsid w:val="FA93EF8A"/>
    <w:multiLevelType w:val="singleLevel"/>
    <w:tmpl w:val="FA93EF8A"/>
    <w:lvl w:ilvl="0" w:tentative="0">
      <w:start w:val="1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YWY5NzI1MThhZDljY2U3MzkwYzYyOTljZjg5ZmIifQ=="/>
  </w:docVars>
  <w:rsids>
    <w:rsidRoot w:val="00000000"/>
    <w:rsid w:val="088037AE"/>
    <w:rsid w:val="10962140"/>
    <w:rsid w:val="111F4CB2"/>
    <w:rsid w:val="15812F4D"/>
    <w:rsid w:val="16F95953"/>
    <w:rsid w:val="186E0550"/>
    <w:rsid w:val="239358A9"/>
    <w:rsid w:val="28CE0483"/>
    <w:rsid w:val="2AB21F73"/>
    <w:rsid w:val="2B720C88"/>
    <w:rsid w:val="2DF10E33"/>
    <w:rsid w:val="2F4A243C"/>
    <w:rsid w:val="30AC4BDE"/>
    <w:rsid w:val="352A495A"/>
    <w:rsid w:val="353B2244"/>
    <w:rsid w:val="365E2079"/>
    <w:rsid w:val="39BB2D00"/>
    <w:rsid w:val="3B347304"/>
    <w:rsid w:val="3F2F01C1"/>
    <w:rsid w:val="41EB17DF"/>
    <w:rsid w:val="42033DBF"/>
    <w:rsid w:val="462037CC"/>
    <w:rsid w:val="4A6C325D"/>
    <w:rsid w:val="4B4A0030"/>
    <w:rsid w:val="4CC55594"/>
    <w:rsid w:val="4CEC4458"/>
    <w:rsid w:val="53B76E19"/>
    <w:rsid w:val="5413394D"/>
    <w:rsid w:val="5B8A4B5A"/>
    <w:rsid w:val="5C311FA2"/>
    <w:rsid w:val="5CCF3555"/>
    <w:rsid w:val="60C13DE2"/>
    <w:rsid w:val="63C34F2D"/>
    <w:rsid w:val="642E5696"/>
    <w:rsid w:val="64B16629"/>
    <w:rsid w:val="65666071"/>
    <w:rsid w:val="6577597E"/>
    <w:rsid w:val="67F6080B"/>
    <w:rsid w:val="688E2C61"/>
    <w:rsid w:val="69A5057F"/>
    <w:rsid w:val="6AA03CEB"/>
    <w:rsid w:val="718F3873"/>
    <w:rsid w:val="722E2168"/>
    <w:rsid w:val="729E138D"/>
    <w:rsid w:val="74A17567"/>
    <w:rsid w:val="761B7E63"/>
    <w:rsid w:val="770B45AF"/>
    <w:rsid w:val="78690FE3"/>
    <w:rsid w:val="78A3320F"/>
    <w:rsid w:val="7AF34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character" w:styleId="5">
    <w:name w:val="Strong"/>
    <w:basedOn w:val="4"/>
    <w:qFormat/>
    <w:uiPriority w:val="0"/>
    <w:rPr>
      <w:rFonts w:cs="Times New Roman"/>
      <w:b/>
      <w:bCs/>
    </w:rPr>
  </w:style>
  <w:style w:type="paragraph" w:customStyle="1" w:styleId="6">
    <w:name w:val="p0"/>
    <w:basedOn w:val="1"/>
    <w:qFormat/>
    <w:uiPriority w:val="0"/>
    <w:pPr>
      <w:widowControl/>
    </w:pPr>
    <w:rPr>
      <w:kern w:val="0"/>
      <w:szCs w:val="21"/>
    </w:rPr>
  </w:style>
  <w:style w:type="character" w:customStyle="1" w:styleId="7">
    <w:name w:val="font41"/>
    <w:basedOn w:val="4"/>
    <w:qFormat/>
    <w:uiPriority w:val="0"/>
    <w:rPr>
      <w:rFonts w:hint="default" w:ascii="Arial" w:hAnsi="Arial" w:cs="Arial"/>
      <w:color w:val="000000"/>
      <w:sz w:val="20"/>
      <w:szCs w:val="20"/>
      <w:u w:val="none"/>
    </w:rPr>
  </w:style>
  <w:style w:type="character" w:customStyle="1" w:styleId="8">
    <w:name w:val="font51"/>
    <w:basedOn w:val="4"/>
    <w:qFormat/>
    <w:uiPriority w:val="0"/>
    <w:rPr>
      <w:rFonts w:hint="eastAsia" w:ascii="宋体" w:hAnsi="宋体" w:eastAsia="宋体" w:cs="宋体"/>
      <w:color w:val="000000"/>
      <w:sz w:val="20"/>
      <w:szCs w:val="20"/>
      <w:u w:val="none"/>
    </w:rPr>
  </w:style>
  <w:style w:type="paragraph" w:customStyle="1" w:styleId="9">
    <w:name w:val="闻政正文"/>
    <w:basedOn w:val="1"/>
    <w:qFormat/>
    <w:uiPriority w:val="0"/>
    <w:pPr>
      <w:spacing w:line="500" w:lineRule="exact"/>
      <w:ind w:firstLine="560" w:firstLineChars="200"/>
    </w:pPr>
    <w:rPr>
      <w:rFonts w:eastAsia="仿宋_GB2312"/>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10572</Words>
  <Characters>13954</Characters>
  <Lines>0</Lines>
  <Paragraphs>0</Paragraphs>
  <TotalTime>138</TotalTime>
  <ScaleCrop>false</ScaleCrop>
  <LinksUpToDate>false</LinksUpToDate>
  <CharactersWithSpaces>14516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L</cp:lastModifiedBy>
  <cp:lastPrinted>2020-10-13T09:00:00Z</cp:lastPrinted>
  <dcterms:modified xsi:type="dcterms:W3CDTF">2023-07-28T03:09:08Z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CD8F0166D9614010860367900EC13AA0_12</vt:lpwstr>
  </property>
</Properties>
</file>