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5D22C">
      <w:pPr>
        <w:spacing w:line="600" w:lineRule="exact"/>
        <w:jc w:val="center"/>
        <w:rPr>
          <w:rFonts w:hint="eastAsia" w:ascii="宋体" w:hAnsi="宋体" w:cs="宋体"/>
          <w:sz w:val="52"/>
          <w:szCs w:val="52"/>
        </w:rPr>
      </w:pPr>
      <w:r>
        <w:rPr>
          <w:rFonts w:hint="eastAsia" w:ascii="宋体" w:hAnsi="宋体" w:cs="宋体"/>
          <w:sz w:val="52"/>
          <w:szCs w:val="52"/>
        </w:rPr>
        <w:t>景德镇市人民政府行政服务中心</w:t>
      </w:r>
    </w:p>
    <w:p w14:paraId="2F9C6B21">
      <w:pPr>
        <w:spacing w:line="600" w:lineRule="exact"/>
        <w:jc w:val="center"/>
        <w:rPr>
          <w:rFonts w:ascii="宋体" w:hAnsi="宋体" w:cs="宋体"/>
          <w:sz w:val="52"/>
          <w:szCs w:val="52"/>
        </w:rPr>
      </w:pPr>
      <w:r>
        <w:rPr>
          <w:rFonts w:hint="eastAsia" w:ascii="宋体" w:hAnsi="宋体" w:cs="宋体"/>
          <w:sz w:val="52"/>
          <w:szCs w:val="52"/>
        </w:rPr>
        <w:t>管理委员会</w:t>
      </w:r>
    </w:p>
    <w:p w14:paraId="2E0DCA10">
      <w:pPr>
        <w:spacing w:line="600" w:lineRule="exact"/>
        <w:jc w:val="center"/>
        <w:rPr>
          <w:rFonts w:ascii="宋体" w:hAnsi="宋体" w:cs="宋体"/>
          <w:sz w:val="52"/>
          <w:szCs w:val="52"/>
        </w:rPr>
      </w:pPr>
      <w:r>
        <w:rPr>
          <w:rFonts w:hint="eastAsia" w:ascii="宋体" w:hAnsi="宋体" w:cs="宋体"/>
          <w:sz w:val="52"/>
          <w:szCs w:val="52"/>
        </w:rPr>
        <w:t>2019年度部门决算</w:t>
      </w:r>
    </w:p>
    <w:p w14:paraId="1D452E03">
      <w:pPr>
        <w:spacing w:line="600" w:lineRule="exact"/>
        <w:jc w:val="center"/>
        <w:rPr>
          <w:rFonts w:ascii="黑体" w:eastAsia="黑体"/>
          <w:sz w:val="44"/>
          <w:szCs w:val="36"/>
        </w:rPr>
      </w:pPr>
    </w:p>
    <w:p w14:paraId="6537D113">
      <w:pPr>
        <w:spacing w:line="600" w:lineRule="exact"/>
        <w:jc w:val="center"/>
        <w:rPr>
          <w:rFonts w:ascii="黑体" w:eastAsia="黑体"/>
          <w:sz w:val="40"/>
          <w:szCs w:val="36"/>
        </w:rPr>
      </w:pPr>
      <w:r>
        <w:rPr>
          <w:rFonts w:hint="eastAsia" w:ascii="黑体" w:eastAsia="黑体"/>
          <w:sz w:val="40"/>
          <w:szCs w:val="36"/>
        </w:rPr>
        <w:t>目    录</w:t>
      </w:r>
    </w:p>
    <w:p w14:paraId="542ED315">
      <w:pPr>
        <w:widowControl/>
        <w:spacing w:line="600" w:lineRule="exact"/>
        <w:ind w:firstLine="640"/>
        <w:jc w:val="left"/>
        <w:rPr>
          <w:rFonts w:ascii="仿宋_GB2312" w:eastAsia="仿宋_GB2312"/>
          <w:sz w:val="32"/>
          <w:szCs w:val="30"/>
        </w:rPr>
      </w:pPr>
    </w:p>
    <w:p w14:paraId="00EA8D35">
      <w:pPr>
        <w:widowControl/>
        <w:spacing w:line="600" w:lineRule="exact"/>
        <w:ind w:firstLine="640"/>
        <w:jc w:val="left"/>
        <w:rPr>
          <w:rFonts w:ascii="黑体" w:hAnsi="黑体" w:eastAsia="黑体" w:cs="黑体"/>
          <w:b/>
          <w:bCs/>
          <w:sz w:val="32"/>
          <w:szCs w:val="32"/>
        </w:rPr>
      </w:pPr>
      <w:r>
        <w:rPr>
          <w:rFonts w:hint="eastAsia" w:ascii="黑体" w:hAnsi="黑体" w:eastAsia="黑体"/>
          <w:b/>
          <w:sz w:val="32"/>
          <w:szCs w:val="32"/>
        </w:rPr>
        <w:t xml:space="preserve">第一部分 </w:t>
      </w:r>
      <w:r>
        <w:rPr>
          <w:rFonts w:hint="eastAsia" w:ascii="黑体" w:hAnsi="黑体" w:eastAsia="黑体" w:cs="黑体"/>
          <w:b/>
          <w:sz w:val="32"/>
          <w:szCs w:val="32"/>
        </w:rPr>
        <w:t xml:space="preserve"> </w:t>
      </w:r>
      <w:r>
        <w:rPr>
          <w:rFonts w:hint="eastAsia" w:ascii="黑体" w:hAnsi="黑体" w:eastAsia="黑体" w:cs="黑体"/>
          <w:b/>
          <w:bCs/>
          <w:sz w:val="32"/>
          <w:szCs w:val="32"/>
        </w:rPr>
        <w:t>景德镇市人民政府行政服务中心管理委员会概况</w:t>
      </w:r>
    </w:p>
    <w:p w14:paraId="10CA2647">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24042F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42FA597">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2019年度部门决算表</w:t>
      </w:r>
    </w:p>
    <w:p w14:paraId="78F3F7CC">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47E568A8">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2A2B6C0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FA619D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0AF073C">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6EFA93F7">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47A69B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6EF1FE7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582D39D2">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AB92CA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54A8D763">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2019年度部门决算情况说明</w:t>
      </w:r>
    </w:p>
    <w:p w14:paraId="2542C40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5AE38702">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42075F4E">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6A009031">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3B443ED8">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0693076C">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6004894C">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479545B7">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1228BC56">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14:paraId="1AF804BE">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7903C1FE">
      <w:pPr>
        <w:ind w:firstLine="630"/>
        <w:jc w:val="center"/>
        <w:rPr>
          <w:rFonts w:ascii="宋体" w:hAnsi="宋体"/>
          <w:b/>
          <w:sz w:val="36"/>
          <w:szCs w:val="36"/>
        </w:rPr>
      </w:pPr>
    </w:p>
    <w:p w14:paraId="72AB63BE">
      <w:pPr>
        <w:ind w:firstLine="630"/>
        <w:jc w:val="center"/>
        <w:rPr>
          <w:rFonts w:ascii="宋体" w:hAnsi="宋体"/>
          <w:b/>
          <w:sz w:val="36"/>
          <w:szCs w:val="36"/>
        </w:rPr>
      </w:pPr>
    </w:p>
    <w:p w14:paraId="01D08317">
      <w:pPr>
        <w:ind w:firstLine="630"/>
        <w:jc w:val="center"/>
        <w:rPr>
          <w:rFonts w:ascii="宋体" w:hAnsi="宋体"/>
          <w:b/>
          <w:sz w:val="36"/>
          <w:szCs w:val="36"/>
        </w:rPr>
      </w:pPr>
    </w:p>
    <w:p w14:paraId="469E5132">
      <w:pPr>
        <w:ind w:firstLine="630"/>
        <w:jc w:val="center"/>
        <w:rPr>
          <w:rFonts w:ascii="宋体" w:hAnsi="宋体"/>
          <w:b/>
          <w:sz w:val="36"/>
          <w:szCs w:val="36"/>
        </w:rPr>
      </w:pPr>
    </w:p>
    <w:p w14:paraId="6D4F5042">
      <w:pPr>
        <w:ind w:firstLine="630"/>
        <w:jc w:val="center"/>
        <w:rPr>
          <w:rFonts w:ascii="宋体" w:hAnsi="宋体"/>
          <w:b/>
          <w:sz w:val="36"/>
          <w:szCs w:val="36"/>
        </w:rPr>
      </w:pPr>
    </w:p>
    <w:p w14:paraId="5FFB66B5">
      <w:pPr>
        <w:ind w:firstLine="630"/>
        <w:jc w:val="center"/>
        <w:rPr>
          <w:rFonts w:ascii="宋体" w:hAnsi="宋体"/>
          <w:b/>
          <w:sz w:val="36"/>
          <w:szCs w:val="36"/>
        </w:rPr>
      </w:pPr>
    </w:p>
    <w:p w14:paraId="6859C88B">
      <w:pPr>
        <w:ind w:firstLine="630"/>
        <w:jc w:val="center"/>
        <w:rPr>
          <w:rFonts w:ascii="宋体" w:hAnsi="宋体"/>
          <w:b/>
          <w:sz w:val="36"/>
          <w:szCs w:val="36"/>
        </w:rPr>
      </w:pPr>
    </w:p>
    <w:p w14:paraId="74235F7A">
      <w:pPr>
        <w:rPr>
          <w:rFonts w:ascii="宋体" w:hAnsi="宋体"/>
          <w:b/>
          <w:sz w:val="36"/>
          <w:szCs w:val="36"/>
        </w:rPr>
      </w:pPr>
    </w:p>
    <w:p w14:paraId="567EC357">
      <w:pPr>
        <w:ind w:firstLine="630"/>
        <w:jc w:val="center"/>
        <w:rPr>
          <w:rFonts w:ascii="宋体" w:hAnsi="宋体"/>
          <w:b/>
          <w:sz w:val="36"/>
          <w:szCs w:val="36"/>
        </w:rPr>
      </w:pPr>
    </w:p>
    <w:p w14:paraId="540F526A">
      <w:pPr>
        <w:ind w:firstLine="630"/>
        <w:jc w:val="center"/>
        <w:rPr>
          <w:rFonts w:ascii="宋体" w:hAnsi="宋体"/>
          <w:b/>
          <w:sz w:val="36"/>
          <w:szCs w:val="36"/>
        </w:rPr>
      </w:pPr>
    </w:p>
    <w:p w14:paraId="685CED8F">
      <w:pPr>
        <w:ind w:firstLine="630"/>
        <w:jc w:val="center"/>
        <w:rPr>
          <w:rFonts w:ascii="宋体" w:hAnsi="宋体"/>
          <w:b/>
          <w:sz w:val="36"/>
          <w:szCs w:val="36"/>
        </w:rPr>
      </w:pPr>
    </w:p>
    <w:p w14:paraId="60AFC7F5">
      <w:pPr>
        <w:ind w:firstLine="630"/>
        <w:jc w:val="center"/>
        <w:rPr>
          <w:rFonts w:ascii="宋体" w:hAnsi="宋体"/>
          <w:b/>
          <w:sz w:val="36"/>
          <w:szCs w:val="36"/>
        </w:rPr>
      </w:pPr>
    </w:p>
    <w:p w14:paraId="19743132">
      <w:pPr>
        <w:widowControl/>
        <w:spacing w:line="580" w:lineRule="exact"/>
        <w:jc w:val="center"/>
        <w:rPr>
          <w:rFonts w:ascii="宋体" w:hAnsi="宋体"/>
          <w:b/>
          <w:sz w:val="32"/>
          <w:szCs w:val="30"/>
        </w:rPr>
      </w:pPr>
    </w:p>
    <w:p w14:paraId="30519344">
      <w:pPr>
        <w:widowControl/>
        <w:spacing w:line="580" w:lineRule="exact"/>
        <w:jc w:val="center"/>
        <w:rPr>
          <w:rFonts w:hint="eastAsia" w:ascii="黑体" w:hAnsi="黑体" w:eastAsia="黑体" w:cs="黑体"/>
          <w:b/>
          <w:bCs/>
          <w:sz w:val="32"/>
          <w:szCs w:val="32"/>
        </w:rPr>
      </w:pPr>
      <w:r>
        <w:rPr>
          <w:rFonts w:hint="eastAsia" w:ascii="宋体" w:hAnsi="宋体"/>
          <w:b/>
          <w:sz w:val="32"/>
          <w:szCs w:val="30"/>
        </w:rPr>
        <w:t xml:space="preserve">第一部分  </w:t>
      </w:r>
      <w:r>
        <w:rPr>
          <w:rFonts w:hint="eastAsia" w:ascii="黑体" w:hAnsi="黑体" w:eastAsia="黑体" w:cs="黑体"/>
          <w:b/>
          <w:bCs/>
          <w:sz w:val="32"/>
          <w:szCs w:val="32"/>
        </w:rPr>
        <w:t>景德镇市人民政府行政服务中心</w:t>
      </w:r>
    </w:p>
    <w:p w14:paraId="47D908C3">
      <w:pPr>
        <w:widowControl/>
        <w:spacing w:line="580" w:lineRule="exact"/>
        <w:jc w:val="center"/>
        <w:rPr>
          <w:rFonts w:ascii="宋体" w:hAnsi="宋体"/>
          <w:b/>
          <w:sz w:val="32"/>
          <w:szCs w:val="30"/>
        </w:rPr>
      </w:pPr>
      <w:r>
        <w:rPr>
          <w:rFonts w:hint="eastAsia" w:ascii="黑体" w:hAnsi="黑体" w:eastAsia="黑体" w:cs="黑体"/>
          <w:b/>
          <w:bCs/>
          <w:sz w:val="32"/>
          <w:szCs w:val="32"/>
        </w:rPr>
        <w:t>管理委员会</w:t>
      </w:r>
      <w:r>
        <w:rPr>
          <w:rFonts w:hint="eastAsia" w:ascii="宋体" w:hAnsi="宋体"/>
          <w:b/>
          <w:sz w:val="32"/>
          <w:szCs w:val="30"/>
        </w:rPr>
        <w:t>概况</w:t>
      </w:r>
    </w:p>
    <w:p w14:paraId="4B5D7896">
      <w:pPr>
        <w:ind w:firstLine="630"/>
        <w:jc w:val="center"/>
        <w:rPr>
          <w:sz w:val="32"/>
          <w:szCs w:val="32"/>
        </w:rPr>
      </w:pPr>
    </w:p>
    <w:p w14:paraId="4972781D">
      <w:pPr>
        <w:ind w:firstLine="630"/>
        <w:jc w:val="left"/>
        <w:rPr>
          <w:rFonts w:ascii="黑体" w:hAnsi="黑体" w:eastAsia="黑体"/>
          <w:sz w:val="30"/>
          <w:szCs w:val="30"/>
        </w:rPr>
      </w:pPr>
      <w:r>
        <w:rPr>
          <w:rFonts w:hint="eastAsia" w:ascii="黑体" w:hAnsi="黑体" w:eastAsia="黑体"/>
          <w:sz w:val="30"/>
          <w:szCs w:val="30"/>
        </w:rPr>
        <w:t>一、部门主要职能</w:t>
      </w:r>
    </w:p>
    <w:p w14:paraId="4C6AC1D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景德镇市行政服务中心管委会，简称“市行管委”，为市政府正县级派出机构，参照公务员法管理。主要履行“管理、协调、监督、服务”等职责，管理、指导全市公共资源交易工作，为办理行政服务事项提供服务、组织与协调，对窗口工作人员进行管理、培训和考核；对下级行政服务中心建设进行指导，为客商来景投资办企业提供代办服务等；完成市政府交办的其他工作。</w:t>
      </w:r>
    </w:p>
    <w:p w14:paraId="4E1ABC39">
      <w:pPr>
        <w:ind w:firstLine="630"/>
        <w:jc w:val="left"/>
        <w:rPr>
          <w:rFonts w:ascii="黑体" w:hAnsi="黑体" w:eastAsia="黑体"/>
          <w:sz w:val="30"/>
          <w:szCs w:val="30"/>
        </w:rPr>
      </w:pPr>
      <w:r>
        <w:rPr>
          <w:rFonts w:hint="eastAsia" w:ascii="黑体" w:hAnsi="黑体" w:eastAsia="黑体"/>
          <w:sz w:val="30"/>
          <w:szCs w:val="30"/>
        </w:rPr>
        <w:t>二、部门基本情况</w:t>
      </w:r>
    </w:p>
    <w:p w14:paraId="6ECE361D">
      <w:pPr>
        <w:snapToGrid w:val="0"/>
        <w:spacing w:line="520" w:lineRule="exact"/>
        <w:ind w:firstLine="600" w:firstLineChars="200"/>
        <w:rPr>
          <w:rFonts w:ascii="仿宋_GB2312" w:hAnsi="宋体" w:eastAsia="仿宋_GB2312" w:cs="仿宋_GB2312"/>
          <w:sz w:val="32"/>
          <w:szCs w:val="32"/>
        </w:rPr>
      </w:pPr>
      <w:r>
        <w:rPr>
          <w:rFonts w:hint="eastAsia" w:ascii="仿宋" w:hAnsi="仿宋" w:eastAsia="仿宋"/>
          <w:sz w:val="30"/>
          <w:szCs w:val="30"/>
        </w:rPr>
        <w:t>纳入本套部门决算汇编范围的单位共3 个，</w:t>
      </w:r>
      <w:r>
        <w:rPr>
          <w:rFonts w:hint="eastAsia" w:ascii="仿宋_GB2312" w:hAnsi="仿宋_GB2312" w:eastAsia="仿宋_GB2312" w:cs="仿宋_GB2312"/>
          <w:sz w:val="32"/>
          <w:szCs w:val="32"/>
        </w:rPr>
        <w:t>景德镇市行政服务中心管委会。其中：</w:t>
      </w:r>
      <w:r>
        <w:rPr>
          <w:rFonts w:hint="eastAsia" w:ascii="仿宋_GB2312" w:hAnsi="宋体" w:eastAsia="仿宋_GB2312" w:cs="仿宋_GB2312"/>
          <w:sz w:val="32"/>
          <w:szCs w:val="32"/>
        </w:rPr>
        <w:t>市公共资源交易中心、市行政审批代办中心,两个下属正科级事业单位。</w:t>
      </w:r>
    </w:p>
    <w:p w14:paraId="4E2CBDC4">
      <w:pPr>
        <w:ind w:firstLine="630"/>
        <w:jc w:val="left"/>
        <w:rPr>
          <w:rFonts w:ascii="仿宋" w:hAnsi="仿宋" w:eastAsia="仿宋"/>
          <w:sz w:val="30"/>
          <w:szCs w:val="30"/>
        </w:rPr>
      </w:pPr>
      <w:r>
        <w:rPr>
          <w:rFonts w:hint="eastAsia" w:ascii="仿宋" w:hAnsi="仿宋" w:eastAsia="仿宋"/>
          <w:sz w:val="30"/>
          <w:szCs w:val="30"/>
        </w:rPr>
        <w:t>本部门2019年年末实有人数 35 人，其中在职人员35 人，退休人员 4 人。</w:t>
      </w:r>
    </w:p>
    <w:p w14:paraId="2F3B0B96">
      <w:pPr>
        <w:widowControl/>
        <w:spacing w:line="600" w:lineRule="exact"/>
        <w:ind w:firstLine="640"/>
        <w:jc w:val="center"/>
        <w:rPr>
          <w:rFonts w:ascii="宋体" w:hAnsi="宋体"/>
          <w:b/>
          <w:sz w:val="32"/>
          <w:szCs w:val="32"/>
        </w:rPr>
      </w:pPr>
    </w:p>
    <w:p w14:paraId="7016768F">
      <w:pPr>
        <w:widowControl/>
        <w:spacing w:line="600" w:lineRule="exact"/>
        <w:ind w:firstLine="640"/>
        <w:jc w:val="center"/>
        <w:rPr>
          <w:rFonts w:ascii="宋体" w:hAnsi="宋体"/>
          <w:b/>
          <w:sz w:val="32"/>
          <w:szCs w:val="32"/>
        </w:rPr>
      </w:pPr>
    </w:p>
    <w:p w14:paraId="5544D7DA">
      <w:pPr>
        <w:widowControl/>
        <w:spacing w:line="600" w:lineRule="exact"/>
        <w:ind w:firstLine="640"/>
        <w:jc w:val="center"/>
        <w:rPr>
          <w:rFonts w:ascii="宋体" w:hAnsi="宋体"/>
          <w:b/>
          <w:sz w:val="32"/>
          <w:szCs w:val="32"/>
        </w:rPr>
      </w:pPr>
    </w:p>
    <w:p w14:paraId="085BF06C">
      <w:pPr>
        <w:widowControl/>
        <w:spacing w:line="600" w:lineRule="exact"/>
        <w:ind w:firstLine="640"/>
        <w:jc w:val="center"/>
        <w:rPr>
          <w:rFonts w:ascii="宋体" w:hAnsi="宋体"/>
          <w:b/>
          <w:sz w:val="32"/>
          <w:szCs w:val="32"/>
        </w:rPr>
      </w:pPr>
    </w:p>
    <w:p w14:paraId="6C157651">
      <w:pPr>
        <w:widowControl/>
        <w:spacing w:line="600" w:lineRule="exact"/>
        <w:ind w:firstLine="640"/>
        <w:jc w:val="center"/>
        <w:rPr>
          <w:rFonts w:ascii="宋体" w:hAnsi="宋体"/>
          <w:b/>
          <w:sz w:val="32"/>
          <w:szCs w:val="32"/>
        </w:rPr>
      </w:pPr>
    </w:p>
    <w:p w14:paraId="7CAF8C34">
      <w:pPr>
        <w:widowControl/>
        <w:spacing w:line="600" w:lineRule="exact"/>
        <w:ind w:firstLine="640"/>
        <w:jc w:val="center"/>
        <w:rPr>
          <w:rFonts w:ascii="宋体" w:hAnsi="宋体"/>
          <w:b/>
          <w:sz w:val="32"/>
          <w:szCs w:val="32"/>
        </w:rPr>
      </w:pPr>
    </w:p>
    <w:p w14:paraId="76A1D4F8">
      <w:pPr>
        <w:widowControl/>
        <w:spacing w:line="600" w:lineRule="exact"/>
        <w:ind w:firstLine="640"/>
        <w:jc w:val="center"/>
        <w:rPr>
          <w:rFonts w:ascii="宋体" w:hAnsi="宋体"/>
          <w:b/>
          <w:sz w:val="32"/>
          <w:szCs w:val="32"/>
        </w:rPr>
      </w:pPr>
    </w:p>
    <w:p w14:paraId="392204B1">
      <w:pPr>
        <w:widowControl/>
        <w:spacing w:line="600" w:lineRule="exact"/>
        <w:rPr>
          <w:rFonts w:ascii="宋体" w:hAnsi="宋体"/>
          <w:b/>
          <w:sz w:val="32"/>
          <w:szCs w:val="32"/>
        </w:rPr>
      </w:pPr>
    </w:p>
    <w:p w14:paraId="11073E41">
      <w:pPr>
        <w:widowControl/>
        <w:numPr>
          <w:ilvl w:val="0"/>
          <w:numId w:val="1"/>
        </w:numPr>
        <w:spacing w:line="600" w:lineRule="exact"/>
        <w:ind w:firstLine="640"/>
        <w:jc w:val="center"/>
        <w:rPr>
          <w:rFonts w:ascii="宋体" w:hAnsi="宋体"/>
          <w:b/>
          <w:sz w:val="32"/>
          <w:szCs w:val="32"/>
        </w:rPr>
      </w:pPr>
      <w:r>
        <w:rPr>
          <w:rFonts w:hint="eastAsia" w:ascii="宋体" w:hAnsi="宋体"/>
          <w:b/>
          <w:sz w:val="32"/>
          <w:szCs w:val="32"/>
        </w:rPr>
        <w:t xml:space="preserve"> 2019年度部门决算表</w:t>
      </w:r>
    </w:p>
    <w:p w14:paraId="09D99887">
      <w:pPr>
        <w:widowControl/>
        <w:spacing w:line="600" w:lineRule="exact"/>
        <w:rPr>
          <w:rFonts w:ascii="宋体" w:hAnsi="宋体"/>
          <w:b/>
          <w:sz w:val="32"/>
          <w:szCs w:val="32"/>
        </w:rPr>
      </w:pPr>
    </w:p>
    <w:p w14:paraId="3B1A6779">
      <w:pPr>
        <w:widowControl/>
        <w:spacing w:line="600" w:lineRule="exact"/>
        <w:rPr>
          <w:rFonts w:ascii="宋体" w:hAnsi="宋体"/>
          <w:b/>
          <w:sz w:val="32"/>
          <w:szCs w:val="32"/>
        </w:rPr>
      </w:pPr>
    </w:p>
    <w:p w14:paraId="7CAC7FD5">
      <w:pPr>
        <w:autoSpaceDE w:val="0"/>
        <w:autoSpaceDN w:val="0"/>
        <w:adjustRightInd w:val="0"/>
        <w:spacing w:line="360" w:lineRule="auto"/>
        <w:rPr>
          <w:szCs w:val="30"/>
        </w:rPr>
      </w:pPr>
      <w:r>
        <w:drawing>
          <wp:inline distT="0" distB="0" distL="114300" distR="114300">
            <wp:extent cx="5448935" cy="4967605"/>
            <wp:effectExtent l="0" t="0" r="698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48935" cy="4967605"/>
                    </a:xfrm>
                    <a:prstGeom prst="rect">
                      <a:avLst/>
                    </a:prstGeom>
                    <a:noFill/>
                    <a:ln>
                      <a:noFill/>
                    </a:ln>
                  </pic:spPr>
                </pic:pic>
              </a:graphicData>
            </a:graphic>
          </wp:inline>
        </w:drawing>
      </w:r>
    </w:p>
    <w:p w14:paraId="2689415A">
      <w:pPr>
        <w:autoSpaceDE w:val="0"/>
        <w:autoSpaceDN w:val="0"/>
        <w:adjustRightInd w:val="0"/>
        <w:spacing w:line="360" w:lineRule="auto"/>
        <w:jc w:val="center"/>
        <w:rPr>
          <w:szCs w:val="30"/>
        </w:rPr>
      </w:pPr>
    </w:p>
    <w:p w14:paraId="7E065EB3">
      <w:pPr>
        <w:autoSpaceDE w:val="0"/>
        <w:autoSpaceDN w:val="0"/>
        <w:adjustRightInd w:val="0"/>
        <w:spacing w:line="360" w:lineRule="auto"/>
        <w:jc w:val="center"/>
        <w:rPr>
          <w:szCs w:val="30"/>
        </w:rPr>
      </w:pPr>
    </w:p>
    <w:p w14:paraId="02E51D8B">
      <w:pPr>
        <w:autoSpaceDE w:val="0"/>
        <w:autoSpaceDN w:val="0"/>
        <w:adjustRightInd w:val="0"/>
        <w:spacing w:line="360" w:lineRule="auto"/>
        <w:jc w:val="center"/>
        <w:rPr>
          <w:szCs w:val="30"/>
        </w:rPr>
      </w:pPr>
    </w:p>
    <w:p w14:paraId="1EEE27FA">
      <w:pPr>
        <w:autoSpaceDE w:val="0"/>
        <w:autoSpaceDN w:val="0"/>
        <w:adjustRightInd w:val="0"/>
        <w:spacing w:line="360" w:lineRule="auto"/>
        <w:jc w:val="center"/>
        <w:rPr>
          <w:szCs w:val="30"/>
        </w:rPr>
      </w:pPr>
    </w:p>
    <w:p w14:paraId="08B09870">
      <w:pPr>
        <w:autoSpaceDE w:val="0"/>
        <w:autoSpaceDN w:val="0"/>
        <w:adjustRightInd w:val="0"/>
        <w:spacing w:line="360" w:lineRule="auto"/>
        <w:jc w:val="center"/>
        <w:rPr>
          <w:szCs w:val="30"/>
        </w:rPr>
      </w:pPr>
    </w:p>
    <w:p w14:paraId="437F81D4">
      <w:pPr>
        <w:autoSpaceDE w:val="0"/>
        <w:autoSpaceDN w:val="0"/>
        <w:adjustRightInd w:val="0"/>
        <w:spacing w:line="360" w:lineRule="auto"/>
        <w:jc w:val="center"/>
        <w:rPr>
          <w:szCs w:val="30"/>
        </w:rPr>
      </w:pPr>
    </w:p>
    <w:p w14:paraId="660D97C6">
      <w:pPr>
        <w:autoSpaceDE w:val="0"/>
        <w:autoSpaceDN w:val="0"/>
        <w:adjustRightInd w:val="0"/>
        <w:spacing w:line="360" w:lineRule="auto"/>
        <w:jc w:val="center"/>
        <w:rPr>
          <w:szCs w:val="30"/>
        </w:rPr>
      </w:pPr>
      <w:r>
        <w:drawing>
          <wp:inline distT="0" distB="0" distL="114300" distR="114300">
            <wp:extent cx="6002655" cy="2457450"/>
            <wp:effectExtent l="0" t="0" r="1905"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002655" cy="2457450"/>
                    </a:xfrm>
                    <a:prstGeom prst="rect">
                      <a:avLst/>
                    </a:prstGeom>
                    <a:noFill/>
                    <a:ln>
                      <a:noFill/>
                    </a:ln>
                  </pic:spPr>
                </pic:pic>
              </a:graphicData>
            </a:graphic>
          </wp:inline>
        </w:drawing>
      </w:r>
    </w:p>
    <w:p w14:paraId="48C71F92">
      <w:pPr>
        <w:autoSpaceDE w:val="0"/>
        <w:autoSpaceDN w:val="0"/>
        <w:adjustRightInd w:val="0"/>
        <w:spacing w:line="360" w:lineRule="auto"/>
        <w:jc w:val="left"/>
        <w:rPr>
          <w:rFonts w:ascii="仿宋" w:hAnsi="仿宋" w:eastAsia="仿宋" w:cs="仿宋_GB2312"/>
          <w:kern w:val="0"/>
          <w:sz w:val="30"/>
          <w:szCs w:val="30"/>
        </w:rPr>
      </w:pPr>
    </w:p>
    <w:p w14:paraId="1957DA37">
      <w:pPr>
        <w:autoSpaceDE w:val="0"/>
        <w:autoSpaceDN w:val="0"/>
        <w:adjustRightInd w:val="0"/>
        <w:spacing w:line="360" w:lineRule="auto"/>
        <w:jc w:val="left"/>
      </w:pPr>
    </w:p>
    <w:p w14:paraId="4769984D">
      <w:pPr>
        <w:autoSpaceDE w:val="0"/>
        <w:autoSpaceDN w:val="0"/>
        <w:adjustRightInd w:val="0"/>
        <w:spacing w:line="360" w:lineRule="auto"/>
        <w:jc w:val="left"/>
        <w:rPr>
          <w:rFonts w:ascii="仿宋" w:hAnsi="仿宋" w:eastAsia="仿宋" w:cs="仿宋_GB2312"/>
          <w:kern w:val="0"/>
          <w:sz w:val="30"/>
          <w:szCs w:val="30"/>
        </w:rPr>
      </w:pPr>
      <w:r>
        <w:drawing>
          <wp:inline distT="0" distB="0" distL="114300" distR="114300">
            <wp:extent cx="6085840" cy="2705100"/>
            <wp:effectExtent l="0" t="0" r="1016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085840" cy="2705100"/>
                    </a:xfrm>
                    <a:prstGeom prst="rect">
                      <a:avLst/>
                    </a:prstGeom>
                    <a:noFill/>
                    <a:ln>
                      <a:noFill/>
                    </a:ln>
                  </pic:spPr>
                </pic:pic>
              </a:graphicData>
            </a:graphic>
          </wp:inline>
        </w:drawing>
      </w:r>
    </w:p>
    <w:p w14:paraId="0855AE58">
      <w:pPr>
        <w:autoSpaceDE w:val="0"/>
        <w:autoSpaceDN w:val="0"/>
        <w:adjustRightInd w:val="0"/>
        <w:spacing w:line="360" w:lineRule="auto"/>
        <w:jc w:val="left"/>
        <w:rPr>
          <w:szCs w:val="30"/>
        </w:rPr>
      </w:pPr>
    </w:p>
    <w:p w14:paraId="6271B6EE">
      <w:pPr>
        <w:autoSpaceDE w:val="0"/>
        <w:autoSpaceDN w:val="0"/>
        <w:adjustRightInd w:val="0"/>
        <w:spacing w:line="360" w:lineRule="auto"/>
        <w:jc w:val="left"/>
        <w:rPr>
          <w:szCs w:val="30"/>
        </w:rPr>
      </w:pPr>
    </w:p>
    <w:p w14:paraId="3A2CB639">
      <w:pPr>
        <w:autoSpaceDE w:val="0"/>
        <w:autoSpaceDN w:val="0"/>
        <w:adjustRightInd w:val="0"/>
        <w:spacing w:line="360" w:lineRule="auto"/>
        <w:jc w:val="left"/>
      </w:pPr>
      <w:r>
        <w:drawing>
          <wp:inline distT="0" distB="0" distL="114300" distR="114300">
            <wp:extent cx="5529580" cy="4894580"/>
            <wp:effectExtent l="0" t="0" r="254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529580" cy="4894580"/>
                    </a:xfrm>
                    <a:prstGeom prst="rect">
                      <a:avLst/>
                    </a:prstGeom>
                    <a:noFill/>
                    <a:ln>
                      <a:noFill/>
                    </a:ln>
                  </pic:spPr>
                </pic:pic>
              </a:graphicData>
            </a:graphic>
          </wp:inline>
        </w:drawing>
      </w:r>
    </w:p>
    <w:p w14:paraId="068EA40F">
      <w:pPr>
        <w:autoSpaceDE w:val="0"/>
        <w:autoSpaceDN w:val="0"/>
        <w:adjustRightInd w:val="0"/>
        <w:spacing w:line="360" w:lineRule="auto"/>
        <w:jc w:val="left"/>
      </w:pPr>
    </w:p>
    <w:p w14:paraId="55C7E2A2">
      <w:pPr>
        <w:autoSpaceDE w:val="0"/>
        <w:autoSpaceDN w:val="0"/>
        <w:adjustRightInd w:val="0"/>
        <w:spacing w:line="360" w:lineRule="auto"/>
        <w:jc w:val="left"/>
        <w:rPr>
          <w:rFonts w:ascii="仿宋" w:hAnsi="仿宋" w:eastAsia="仿宋" w:cs="仿宋_GB2312"/>
          <w:kern w:val="0"/>
          <w:sz w:val="30"/>
          <w:szCs w:val="30"/>
        </w:rPr>
      </w:pPr>
    </w:p>
    <w:p w14:paraId="196A60A9">
      <w:pPr>
        <w:autoSpaceDE w:val="0"/>
        <w:autoSpaceDN w:val="0"/>
        <w:adjustRightInd w:val="0"/>
        <w:spacing w:line="360" w:lineRule="auto"/>
        <w:jc w:val="left"/>
        <w:rPr>
          <w:szCs w:val="30"/>
        </w:rPr>
      </w:pPr>
    </w:p>
    <w:p w14:paraId="65740006">
      <w:pPr>
        <w:autoSpaceDE w:val="0"/>
        <w:autoSpaceDN w:val="0"/>
        <w:adjustRightInd w:val="0"/>
        <w:spacing w:line="360" w:lineRule="auto"/>
        <w:jc w:val="left"/>
        <w:rPr>
          <w:szCs w:val="30"/>
        </w:rPr>
      </w:pPr>
      <w:r>
        <w:drawing>
          <wp:inline distT="0" distB="0" distL="114300" distR="114300">
            <wp:extent cx="5487670" cy="3283585"/>
            <wp:effectExtent l="0" t="0" r="1397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487670" cy="3283585"/>
                    </a:xfrm>
                    <a:prstGeom prst="rect">
                      <a:avLst/>
                    </a:prstGeom>
                    <a:noFill/>
                    <a:ln>
                      <a:noFill/>
                    </a:ln>
                  </pic:spPr>
                </pic:pic>
              </a:graphicData>
            </a:graphic>
          </wp:inline>
        </w:drawing>
      </w:r>
    </w:p>
    <w:p w14:paraId="2BA545AF">
      <w:pPr>
        <w:autoSpaceDE w:val="0"/>
        <w:autoSpaceDN w:val="0"/>
        <w:adjustRightInd w:val="0"/>
        <w:spacing w:line="360" w:lineRule="auto"/>
        <w:jc w:val="left"/>
        <w:rPr>
          <w:szCs w:val="30"/>
        </w:rPr>
      </w:pPr>
    </w:p>
    <w:p w14:paraId="28B9F467">
      <w:pPr>
        <w:autoSpaceDE w:val="0"/>
        <w:autoSpaceDN w:val="0"/>
        <w:adjustRightInd w:val="0"/>
        <w:spacing w:line="360" w:lineRule="auto"/>
        <w:jc w:val="left"/>
      </w:pPr>
      <w:r>
        <w:drawing>
          <wp:inline distT="0" distB="0" distL="114300" distR="114300">
            <wp:extent cx="5267325" cy="8825865"/>
            <wp:effectExtent l="0" t="0" r="5715"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5267325" cy="8825865"/>
                    </a:xfrm>
                    <a:prstGeom prst="rect">
                      <a:avLst/>
                    </a:prstGeom>
                    <a:noFill/>
                    <a:ln>
                      <a:noFill/>
                    </a:ln>
                  </pic:spPr>
                </pic:pic>
              </a:graphicData>
            </a:graphic>
          </wp:inline>
        </w:drawing>
      </w:r>
    </w:p>
    <w:p w14:paraId="5807B8D8">
      <w:pPr>
        <w:autoSpaceDE w:val="0"/>
        <w:autoSpaceDN w:val="0"/>
        <w:adjustRightInd w:val="0"/>
        <w:spacing w:line="360" w:lineRule="auto"/>
        <w:jc w:val="left"/>
      </w:pPr>
    </w:p>
    <w:p w14:paraId="108E694F">
      <w:pPr>
        <w:autoSpaceDE w:val="0"/>
        <w:autoSpaceDN w:val="0"/>
        <w:adjustRightInd w:val="0"/>
        <w:spacing w:line="360" w:lineRule="auto"/>
        <w:jc w:val="left"/>
        <w:rPr>
          <w:szCs w:val="30"/>
        </w:rPr>
      </w:pPr>
    </w:p>
    <w:p w14:paraId="6940A879">
      <w:pPr>
        <w:autoSpaceDE w:val="0"/>
        <w:autoSpaceDN w:val="0"/>
        <w:adjustRightInd w:val="0"/>
        <w:spacing w:line="360" w:lineRule="auto"/>
        <w:jc w:val="left"/>
        <w:rPr>
          <w:szCs w:val="30"/>
        </w:rPr>
      </w:pPr>
    </w:p>
    <w:p w14:paraId="63C7C362">
      <w:pPr>
        <w:autoSpaceDE w:val="0"/>
        <w:autoSpaceDN w:val="0"/>
        <w:adjustRightInd w:val="0"/>
        <w:spacing w:line="360" w:lineRule="auto"/>
        <w:jc w:val="left"/>
        <w:rPr>
          <w:szCs w:val="30"/>
        </w:rPr>
      </w:pPr>
    </w:p>
    <w:p w14:paraId="4587E365">
      <w:pPr>
        <w:autoSpaceDE w:val="0"/>
        <w:autoSpaceDN w:val="0"/>
        <w:adjustRightInd w:val="0"/>
        <w:spacing w:line="360" w:lineRule="auto"/>
        <w:jc w:val="left"/>
      </w:pPr>
    </w:p>
    <w:p w14:paraId="3B76C096">
      <w:pPr>
        <w:autoSpaceDE w:val="0"/>
        <w:autoSpaceDN w:val="0"/>
        <w:adjustRightInd w:val="0"/>
        <w:spacing w:line="360" w:lineRule="auto"/>
        <w:jc w:val="left"/>
      </w:pPr>
    </w:p>
    <w:p w14:paraId="15074314">
      <w:pPr>
        <w:autoSpaceDE w:val="0"/>
        <w:autoSpaceDN w:val="0"/>
        <w:adjustRightInd w:val="0"/>
        <w:spacing w:line="360" w:lineRule="auto"/>
        <w:jc w:val="left"/>
      </w:pPr>
      <w:r>
        <w:drawing>
          <wp:inline distT="0" distB="0" distL="114300" distR="114300">
            <wp:extent cx="5271135" cy="5278755"/>
            <wp:effectExtent l="0" t="0" r="190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5271135" cy="5278755"/>
                    </a:xfrm>
                    <a:prstGeom prst="rect">
                      <a:avLst/>
                    </a:prstGeom>
                    <a:noFill/>
                    <a:ln>
                      <a:noFill/>
                    </a:ln>
                  </pic:spPr>
                </pic:pic>
              </a:graphicData>
            </a:graphic>
          </wp:inline>
        </w:drawing>
      </w:r>
    </w:p>
    <w:p w14:paraId="3FD1A4EF">
      <w:pPr>
        <w:autoSpaceDE w:val="0"/>
        <w:autoSpaceDN w:val="0"/>
        <w:adjustRightInd w:val="0"/>
        <w:spacing w:line="360" w:lineRule="auto"/>
        <w:jc w:val="left"/>
      </w:pPr>
    </w:p>
    <w:p w14:paraId="53F5FBBA">
      <w:pPr>
        <w:autoSpaceDE w:val="0"/>
        <w:autoSpaceDN w:val="0"/>
        <w:adjustRightInd w:val="0"/>
        <w:spacing w:line="360" w:lineRule="auto"/>
        <w:jc w:val="left"/>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14:paraId="241A941C">
      <w:pPr>
        <w:autoSpaceDE w:val="0"/>
        <w:autoSpaceDN w:val="0"/>
        <w:adjustRightInd w:val="0"/>
        <w:spacing w:line="360" w:lineRule="auto"/>
        <w:jc w:val="left"/>
      </w:pPr>
    </w:p>
    <w:p w14:paraId="7367A5B9">
      <w:pPr>
        <w:autoSpaceDE w:val="0"/>
        <w:autoSpaceDN w:val="0"/>
        <w:adjustRightInd w:val="0"/>
        <w:spacing w:line="360" w:lineRule="auto"/>
        <w:jc w:val="left"/>
      </w:pPr>
      <w:r>
        <w:drawing>
          <wp:inline distT="0" distB="0" distL="114300" distR="114300">
            <wp:extent cx="5273040" cy="2941320"/>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2"/>
                    <a:stretch>
                      <a:fillRect/>
                    </a:stretch>
                  </pic:blipFill>
                  <pic:spPr>
                    <a:xfrm>
                      <a:off x="0" y="0"/>
                      <a:ext cx="5273040" cy="2941320"/>
                    </a:xfrm>
                    <a:prstGeom prst="rect">
                      <a:avLst/>
                    </a:prstGeom>
                    <a:noFill/>
                    <a:ln>
                      <a:noFill/>
                    </a:ln>
                  </pic:spPr>
                </pic:pic>
              </a:graphicData>
            </a:graphic>
          </wp:inline>
        </w:drawing>
      </w:r>
    </w:p>
    <w:p w14:paraId="247736E0">
      <w:pPr>
        <w:widowControl/>
        <w:spacing w:line="600" w:lineRule="exact"/>
        <w:ind w:firstLine="640"/>
        <w:jc w:val="center"/>
        <w:rPr>
          <w:rFonts w:ascii="宋体" w:hAnsi="宋体"/>
          <w:b/>
          <w:sz w:val="32"/>
          <w:szCs w:val="32"/>
        </w:rPr>
      </w:pPr>
    </w:p>
    <w:p w14:paraId="0133CB71">
      <w:pPr>
        <w:widowControl/>
        <w:spacing w:line="600" w:lineRule="exact"/>
        <w:ind w:firstLine="640"/>
        <w:jc w:val="center"/>
        <w:rPr>
          <w:rFonts w:ascii="宋体" w:hAnsi="宋体"/>
          <w:b/>
          <w:sz w:val="32"/>
          <w:szCs w:val="32"/>
        </w:rPr>
      </w:pPr>
    </w:p>
    <w:p w14:paraId="7ADB8614">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14:paraId="51972B89">
      <w:pPr>
        <w:ind w:firstLine="630"/>
        <w:jc w:val="left"/>
        <w:rPr>
          <w:rFonts w:ascii="仿宋" w:hAnsi="仿宋" w:eastAsia="仿宋"/>
          <w:sz w:val="30"/>
          <w:szCs w:val="30"/>
        </w:rPr>
      </w:pPr>
    </w:p>
    <w:p w14:paraId="66F11232">
      <w:pPr>
        <w:ind w:firstLine="630"/>
        <w:jc w:val="left"/>
        <w:rPr>
          <w:rFonts w:ascii="黑体" w:hAnsi="黑体" w:eastAsia="黑体"/>
          <w:sz w:val="30"/>
          <w:szCs w:val="30"/>
        </w:rPr>
      </w:pPr>
      <w:r>
        <w:rPr>
          <w:rFonts w:hint="eastAsia" w:ascii="黑体" w:hAnsi="黑体" w:eastAsia="黑体"/>
          <w:sz w:val="30"/>
          <w:szCs w:val="30"/>
        </w:rPr>
        <w:t>一、收入决算情况说明</w:t>
      </w:r>
    </w:p>
    <w:p w14:paraId="66C403F7">
      <w:pPr>
        <w:ind w:firstLine="630"/>
        <w:jc w:val="left"/>
        <w:rPr>
          <w:rFonts w:ascii="仿宋" w:hAnsi="仿宋" w:eastAsia="仿宋"/>
          <w:sz w:val="30"/>
          <w:szCs w:val="30"/>
        </w:rPr>
      </w:pPr>
      <w:r>
        <w:rPr>
          <w:rFonts w:hint="eastAsia" w:ascii="仿宋" w:hAnsi="仿宋" w:eastAsia="仿宋"/>
          <w:sz w:val="30"/>
          <w:szCs w:val="30"/>
        </w:rPr>
        <w:t>本部门2019年度收入总计</w:t>
      </w:r>
      <w:r>
        <w:rPr>
          <w:rFonts w:hint="eastAsia" w:ascii="仿宋_GB2312" w:hAnsi="仿宋" w:eastAsia="仿宋_GB2312" w:cs="仿宋"/>
          <w:color w:val="000000"/>
          <w:sz w:val="28"/>
          <w:szCs w:val="28"/>
        </w:rPr>
        <w:t>1640.93</w:t>
      </w:r>
      <w:r>
        <w:rPr>
          <w:rFonts w:hint="eastAsia" w:ascii="仿宋" w:hAnsi="仿宋" w:eastAsia="仿宋"/>
          <w:sz w:val="30"/>
          <w:szCs w:val="30"/>
        </w:rPr>
        <w:t>万元，其中年初结转和结余2328.33 万元，较2018年增加 877.07万元，增长37.67 %；主要原因是：预算增加。</w:t>
      </w:r>
    </w:p>
    <w:p w14:paraId="59A357EF">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本年收入的具体构成为：财政拨款收入1640.93万元，占75%；其他收入543.00 万元，占25 %。  </w:t>
      </w:r>
    </w:p>
    <w:p w14:paraId="55109DB8">
      <w:pPr>
        <w:ind w:firstLine="630"/>
        <w:jc w:val="left"/>
        <w:rPr>
          <w:rFonts w:ascii="黑体" w:hAnsi="黑体" w:eastAsia="黑体"/>
          <w:sz w:val="30"/>
          <w:szCs w:val="30"/>
        </w:rPr>
      </w:pPr>
      <w:r>
        <w:rPr>
          <w:rFonts w:hint="eastAsia" w:ascii="黑体" w:hAnsi="黑体" w:eastAsia="黑体"/>
          <w:sz w:val="30"/>
          <w:szCs w:val="30"/>
        </w:rPr>
        <w:t>二、支出决算情况说明</w:t>
      </w:r>
    </w:p>
    <w:p w14:paraId="264BB312">
      <w:pPr>
        <w:ind w:firstLine="630"/>
        <w:jc w:val="left"/>
        <w:rPr>
          <w:rFonts w:ascii="仿宋" w:hAnsi="仿宋" w:eastAsia="仿宋"/>
          <w:sz w:val="30"/>
          <w:szCs w:val="30"/>
        </w:rPr>
      </w:pPr>
      <w:r>
        <w:rPr>
          <w:rFonts w:hint="eastAsia" w:ascii="仿宋" w:hAnsi="仿宋" w:eastAsia="仿宋"/>
          <w:sz w:val="30"/>
          <w:szCs w:val="30"/>
        </w:rPr>
        <w:t>本部门2019年度支出总计1456.83万元，其中本年支出合计1456.80万元，较2018年减少1281.03万元，下降88%，主要原因是：节约开支；年末结转和结余2627.11万元，较2018年增加298.77万元，增长11.37  %，主要原因是：存在未支付的往来款。</w:t>
      </w:r>
    </w:p>
    <w:p w14:paraId="3C70254B">
      <w:pPr>
        <w:ind w:firstLine="630"/>
        <w:jc w:val="left"/>
        <w:rPr>
          <w:rFonts w:ascii="仿宋" w:hAnsi="仿宋" w:eastAsia="仿宋"/>
          <w:sz w:val="30"/>
          <w:szCs w:val="30"/>
        </w:rPr>
      </w:pPr>
      <w:r>
        <w:rPr>
          <w:rFonts w:hint="eastAsia" w:ascii="仿宋" w:hAnsi="仿宋" w:eastAsia="仿宋"/>
          <w:sz w:val="30"/>
          <w:szCs w:val="30"/>
        </w:rPr>
        <w:t>本年支出的具体构成为：基本支出667.88万元，占 46 %；项目支出788.92万元，占54%。</w:t>
      </w:r>
    </w:p>
    <w:p w14:paraId="14BE1916">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7D2A7E6B">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本部门2019年度财政拨款本年支出年初预算数为1624.60万元，决算数为1640.94 万元，完成年初预算的 100 %。其中：</w:t>
      </w:r>
    </w:p>
    <w:p w14:paraId="0DB047DD">
      <w:pPr>
        <w:ind w:firstLine="630"/>
        <w:jc w:val="left"/>
        <w:rPr>
          <w:rFonts w:ascii="仿宋" w:hAnsi="仿宋" w:eastAsia="仿宋"/>
          <w:sz w:val="30"/>
          <w:szCs w:val="30"/>
        </w:rPr>
      </w:pPr>
      <w:r>
        <w:rPr>
          <w:rFonts w:hint="eastAsia" w:ascii="仿宋" w:hAnsi="仿宋" w:eastAsia="仿宋"/>
          <w:sz w:val="30"/>
          <w:szCs w:val="30"/>
        </w:rPr>
        <w:t>（一）一般公共服务支出年初预算数为16,246,000.00   万元，决算数为16,409,382.00万元，完成年初预算的100  %，主要原因是：严格按预算计划执行。</w:t>
      </w:r>
    </w:p>
    <w:p w14:paraId="2935F729">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3DE6EC10">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本部门2019年度一般公共预算财政拨款基本支出1454.12万元，其中：</w:t>
      </w:r>
    </w:p>
    <w:p w14:paraId="514ED96E">
      <w:pPr>
        <w:ind w:firstLine="585"/>
        <w:jc w:val="left"/>
        <w:rPr>
          <w:rFonts w:ascii="仿宋" w:hAnsi="仿宋" w:eastAsia="仿宋"/>
          <w:sz w:val="30"/>
          <w:szCs w:val="30"/>
        </w:rPr>
      </w:pPr>
      <w:r>
        <w:rPr>
          <w:rFonts w:hint="eastAsia" w:ascii="仿宋" w:hAnsi="仿宋" w:eastAsia="仿宋"/>
          <w:sz w:val="30"/>
          <w:szCs w:val="30"/>
        </w:rPr>
        <w:t>（一）工资福利支出747.27万元，较2018年减少 58.42万元，下降7.82  %，主要原因是：人员调整。</w:t>
      </w:r>
    </w:p>
    <w:p w14:paraId="63B23B23">
      <w:pPr>
        <w:ind w:firstLine="585"/>
        <w:jc w:val="left"/>
        <w:rPr>
          <w:rFonts w:ascii="仿宋" w:hAnsi="仿宋" w:eastAsia="仿宋"/>
          <w:sz w:val="30"/>
          <w:szCs w:val="30"/>
        </w:rPr>
      </w:pPr>
      <w:r>
        <w:rPr>
          <w:rFonts w:hint="eastAsia" w:ascii="仿宋" w:hAnsi="仿宋" w:eastAsia="仿宋"/>
          <w:sz w:val="30"/>
          <w:szCs w:val="30"/>
        </w:rPr>
        <w:t>（二）商品和服务支出575.09 万元，较2018年增加96.24万元，增长16.7 %，主要原因是：新大楼搬入。</w:t>
      </w:r>
    </w:p>
    <w:p w14:paraId="0BD16194">
      <w:pPr>
        <w:ind w:firstLine="585"/>
        <w:jc w:val="left"/>
        <w:rPr>
          <w:rFonts w:ascii="仿宋" w:hAnsi="仿宋" w:eastAsia="仿宋"/>
          <w:sz w:val="30"/>
          <w:szCs w:val="30"/>
        </w:rPr>
      </w:pPr>
      <w:r>
        <w:rPr>
          <w:rFonts w:hint="eastAsia" w:ascii="仿宋" w:hAnsi="仿宋" w:eastAsia="仿宋"/>
          <w:sz w:val="30"/>
          <w:szCs w:val="30"/>
        </w:rPr>
        <w:t>（三）对个人和家庭补助支出 0  万元，较2018年增加（减少）0  万元，增长（下降）0  %。</w:t>
      </w:r>
    </w:p>
    <w:p w14:paraId="6D7924AE">
      <w:pPr>
        <w:ind w:firstLine="585"/>
        <w:jc w:val="left"/>
        <w:rPr>
          <w:rFonts w:ascii="仿宋" w:hAnsi="仿宋" w:eastAsia="仿宋"/>
          <w:sz w:val="30"/>
          <w:szCs w:val="30"/>
        </w:rPr>
      </w:pPr>
      <w:r>
        <w:rPr>
          <w:rFonts w:hint="eastAsia" w:ascii="仿宋" w:hAnsi="仿宋" w:eastAsia="仿宋"/>
          <w:sz w:val="30"/>
          <w:szCs w:val="30"/>
        </w:rPr>
        <w:t>（四）资本性支出131.73万元。</w:t>
      </w:r>
    </w:p>
    <w:p w14:paraId="02687CE4">
      <w:pPr>
        <w:ind w:firstLine="585"/>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341098F5">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本部门2019年度一般公共预算财政拨款“三公”经费支出年初预算数为0.8万元，决算数为0.20万元，完成年初预算的 25 %，决算数较2018年减少4.5  万元，其中：</w:t>
      </w:r>
    </w:p>
    <w:p w14:paraId="1742E376">
      <w:pPr>
        <w:ind w:firstLine="630"/>
        <w:jc w:val="left"/>
        <w:rPr>
          <w:rFonts w:ascii="仿宋" w:hAnsi="仿宋" w:eastAsia="仿宋"/>
          <w:sz w:val="30"/>
          <w:szCs w:val="30"/>
        </w:rPr>
      </w:pPr>
      <w:r>
        <w:rPr>
          <w:rFonts w:hint="eastAsia" w:ascii="仿宋" w:hAnsi="仿宋" w:eastAsia="仿宋"/>
          <w:sz w:val="30"/>
          <w:szCs w:val="30"/>
        </w:rPr>
        <w:t>（一）公务接待费支出年初预算数为0.8 万元，决算数为0.20  万元，完成年初预算的25 %，决算数较2018年减少4.5  万元。决算数较年初预算数减少：5.5万，的主要原因是：节约开支。</w:t>
      </w:r>
    </w:p>
    <w:p w14:paraId="02D7CC7F">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5C28018F">
      <w:pPr>
        <w:ind w:firstLine="630"/>
        <w:jc w:val="left"/>
        <w:rPr>
          <w:rFonts w:ascii="仿宋" w:hAnsi="仿宋" w:eastAsia="仿宋"/>
          <w:sz w:val="30"/>
          <w:szCs w:val="30"/>
        </w:rPr>
      </w:pPr>
      <w:r>
        <w:rPr>
          <w:rFonts w:hint="eastAsia" w:ascii="仿宋" w:hAnsi="仿宋" w:eastAsia="仿宋"/>
          <w:sz w:val="30"/>
          <w:szCs w:val="30"/>
        </w:rPr>
        <w:t>本部门2019年度机关运行经费支出141.95 万元（与部门决算中行政单位和参照公务员法管理事业单位一般公共预算财政拨款基本支出中公用经费之和保持一致），较年初预算数减少45.97 万元，降低32.38  %，主要原因是：办公设施设备购置经费减少，资产运行维护支出减少，落实过紧日子要求压减支出等。</w:t>
      </w:r>
    </w:p>
    <w:p w14:paraId="6D03CF6A">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31999548">
      <w:pPr>
        <w:pStyle w:val="14"/>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本部门2019年度政府采购支出总额103万元。</w:t>
      </w:r>
    </w:p>
    <w:p w14:paraId="59003BB4">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72934345">
      <w:pPr>
        <w:ind w:firstLine="630"/>
        <w:jc w:val="left"/>
        <w:rPr>
          <w:rFonts w:ascii="仿宋" w:hAnsi="仿宋" w:eastAsia="仿宋"/>
          <w:kern w:val="0"/>
          <w:sz w:val="30"/>
          <w:szCs w:val="30"/>
        </w:rPr>
      </w:pPr>
      <w:r>
        <w:rPr>
          <w:rFonts w:hint="eastAsia" w:ascii="仿宋" w:hAnsi="仿宋" w:eastAsia="仿宋"/>
          <w:kern w:val="0"/>
          <w:sz w:val="30"/>
          <w:szCs w:val="30"/>
        </w:rPr>
        <w:t>截止2019年12月31日，本部门国有资产占用情况见公开09表《国有资产占用情况表》。公车改革没公车。</w:t>
      </w:r>
    </w:p>
    <w:p w14:paraId="273D0C50">
      <w:pPr>
        <w:ind w:firstLine="630"/>
        <w:jc w:val="left"/>
        <w:rPr>
          <w:rFonts w:ascii="黑体" w:hAnsi="黑体" w:eastAsia="黑体"/>
          <w:sz w:val="30"/>
          <w:szCs w:val="30"/>
        </w:rPr>
      </w:pPr>
      <w:r>
        <w:rPr>
          <w:rFonts w:hint="eastAsia" w:ascii="黑体" w:hAnsi="黑体" w:eastAsia="黑体"/>
          <w:sz w:val="30"/>
          <w:szCs w:val="30"/>
        </w:rPr>
        <w:t>九、预算绩效情况说明</w:t>
      </w:r>
    </w:p>
    <w:p w14:paraId="1CFED9FC">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D9B7684">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9年度一般公共预算项目支出全面开展绩效自评，其中，一级项目 1 个，共涉及资金</w:t>
      </w:r>
      <w:r>
        <w:rPr>
          <w:rFonts w:hint="eastAsia" w:ascii="仿宋" w:hAnsi="仿宋" w:eastAsia="仿宋" w:cs="仿宋"/>
          <w:color w:val="000000"/>
          <w:kern w:val="0"/>
          <w:sz w:val="32"/>
          <w:szCs w:val="32"/>
        </w:rPr>
        <w:t>532.16</w:t>
      </w:r>
      <w:r>
        <w:rPr>
          <w:rFonts w:hint="eastAsia" w:ascii="仿宋" w:hAnsi="仿宋" w:eastAsia="仿宋" w:cs="仿宋_GB2312"/>
          <w:kern w:val="0"/>
          <w:sz w:val="30"/>
          <w:szCs w:val="30"/>
        </w:rPr>
        <w:t>万元，占一般公共预算项目支出总额的71.00  %。</w:t>
      </w:r>
    </w:p>
    <w:p w14:paraId="5F95AE2E">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
          <w:bCs/>
          <w:sz w:val="30"/>
          <w:szCs w:val="30"/>
        </w:rPr>
        <w:t>行政服务中心运转经费及窗口人员奖励经费</w:t>
      </w:r>
      <w:r>
        <w:rPr>
          <w:rFonts w:hint="eastAsia" w:ascii="仿宋" w:hAnsi="仿宋" w:eastAsia="仿宋" w:cs="仿宋_GB2312"/>
          <w:kern w:val="0"/>
          <w:sz w:val="30"/>
          <w:szCs w:val="30"/>
        </w:rPr>
        <w:t>”等  个项目开展了部门评价，涉及一般公共预算支出960万元。其中，对“</w:t>
      </w:r>
      <w:r>
        <w:rPr>
          <w:rFonts w:hint="eastAsia" w:ascii="仿宋" w:hAnsi="仿宋" w:eastAsia="仿宋" w:cs="仿宋"/>
          <w:bCs/>
          <w:sz w:val="30"/>
          <w:szCs w:val="30"/>
        </w:rPr>
        <w:t>行政服务中心运转经费及窗口人员奖励经费</w:t>
      </w:r>
      <w:r>
        <w:rPr>
          <w:rFonts w:hint="eastAsia" w:ascii="仿宋" w:hAnsi="仿宋" w:eastAsia="仿宋" w:cs="仿宋_GB2312"/>
          <w:kern w:val="0"/>
          <w:sz w:val="30"/>
          <w:szCs w:val="30"/>
        </w:rPr>
        <w:t>”等项目分别委托“</w:t>
      </w:r>
      <w:r>
        <w:rPr>
          <w:rFonts w:hint="eastAsia" w:ascii="仿宋" w:hAnsi="仿宋" w:eastAsia="仿宋" w:cs="仿宋"/>
          <w:bCs/>
          <w:sz w:val="30"/>
          <w:szCs w:val="30"/>
        </w:rPr>
        <w:t>景德镇市闻达财务管理咨询有限责任公司</w:t>
      </w:r>
      <w:r>
        <w:rPr>
          <w:rFonts w:hint="eastAsia" w:ascii="仿宋" w:hAnsi="仿宋" w:eastAsia="仿宋" w:cs="仿宋_GB2312"/>
          <w:kern w:val="0"/>
          <w:sz w:val="30"/>
          <w:szCs w:val="30"/>
        </w:rPr>
        <w:t>”等第三方机构开展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
          <w:bCs/>
          <w:sz w:val="30"/>
          <w:szCs w:val="30"/>
        </w:rPr>
        <w:t>自评价得分</w:t>
      </w:r>
      <w:r>
        <w:rPr>
          <w:rFonts w:hint="eastAsia" w:ascii="仿宋" w:hAnsi="仿宋" w:eastAsia="仿宋" w:cs="仿宋"/>
          <w:bCs/>
          <w:color w:val="000000"/>
          <w:sz w:val="30"/>
          <w:szCs w:val="30"/>
        </w:rPr>
        <w:t>93.19</w:t>
      </w:r>
      <w:r>
        <w:rPr>
          <w:rFonts w:hint="eastAsia" w:ascii="仿宋" w:hAnsi="仿宋" w:eastAsia="仿宋" w:cs="仿宋"/>
          <w:bCs/>
          <w:sz w:val="30"/>
          <w:szCs w:val="30"/>
        </w:rPr>
        <w:t>分，</w:t>
      </w:r>
      <w:r>
        <w:rPr>
          <w:rFonts w:hint="eastAsia" w:ascii="仿宋" w:hAnsi="仿宋" w:eastAsia="仿宋" w:cs="仿宋"/>
          <w:bCs/>
          <w:color w:val="000000"/>
          <w:sz w:val="30"/>
          <w:szCs w:val="30"/>
        </w:rPr>
        <w:t>评价等级“优”。</w:t>
      </w:r>
      <w:r>
        <w:rPr>
          <w:rFonts w:hint="eastAsia" w:ascii="仿宋" w:hAnsi="仿宋" w:eastAsia="仿宋" w:cs="仿宋_GB2312"/>
          <w:kern w:val="0"/>
          <w:sz w:val="30"/>
          <w:szCs w:val="30"/>
        </w:rPr>
        <w:t xml:space="preserve">    </w:t>
      </w:r>
    </w:p>
    <w:p w14:paraId="1CFF237F">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14:paraId="565DB14B">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
          <w:kern w:val="0"/>
          <w:sz w:val="32"/>
          <w:szCs w:val="32"/>
        </w:rPr>
        <w:t>行政服务中心运转经费及窗口人员奖励经费</w:t>
      </w:r>
      <w:r>
        <w:rPr>
          <w:rFonts w:hint="eastAsia" w:ascii="仿宋" w:hAnsi="仿宋" w:eastAsia="仿宋" w:cs="仿宋"/>
          <w:sz w:val="32"/>
          <w:szCs w:val="32"/>
        </w:rPr>
        <w:t>支出项目”</w:t>
      </w:r>
      <w:r>
        <w:rPr>
          <w:rFonts w:hint="eastAsia" w:ascii="仿宋" w:hAnsi="仿宋" w:eastAsia="仿宋" w:cs="仿宋_GB2312"/>
          <w:kern w:val="0"/>
          <w:sz w:val="30"/>
          <w:szCs w:val="30"/>
        </w:rPr>
        <w:t>绩效自评结果。</w:t>
      </w:r>
    </w:p>
    <w:p w14:paraId="08B1C719">
      <w:pPr>
        <w:spacing w:line="580" w:lineRule="exact"/>
        <w:ind w:firstLine="320" w:firstLineChars="100"/>
        <w:outlineLvl w:val="0"/>
        <w:rPr>
          <w:rFonts w:ascii="仿宋" w:hAnsi="仿宋" w:eastAsia="仿宋" w:cs="仿宋"/>
          <w:color w:val="000000"/>
          <w:sz w:val="32"/>
          <w:szCs w:val="32"/>
        </w:rPr>
      </w:pPr>
      <w:r>
        <w:rPr>
          <w:rFonts w:hint="eastAsia" w:ascii="仿宋" w:hAnsi="仿宋" w:eastAsia="仿宋" w:cs="仿宋"/>
          <w:kern w:val="0"/>
          <w:sz w:val="32"/>
          <w:szCs w:val="32"/>
        </w:rPr>
        <w:t>行政服务中心运转经费及窗口人员奖励经费</w:t>
      </w:r>
      <w:r>
        <w:rPr>
          <w:rFonts w:hint="eastAsia" w:ascii="仿宋" w:hAnsi="仿宋" w:eastAsia="仿宋" w:cs="仿宋"/>
          <w:sz w:val="32"/>
          <w:szCs w:val="32"/>
        </w:rPr>
        <w:t>支出项目”</w:t>
      </w:r>
      <w:r>
        <w:rPr>
          <w:rFonts w:hint="eastAsia" w:ascii="仿宋" w:hAnsi="仿宋" w:eastAsia="仿宋" w:cs="仿宋_GB2312"/>
          <w:kern w:val="0"/>
          <w:sz w:val="30"/>
          <w:szCs w:val="30"/>
        </w:rPr>
        <w:t>绩效自评综述：根据年初设定的绩效目标，</w:t>
      </w:r>
      <w:r>
        <w:rPr>
          <w:rFonts w:hint="eastAsia" w:ascii="仿宋" w:hAnsi="仿宋" w:eastAsia="仿宋" w:cs="仿宋"/>
          <w:kern w:val="0"/>
          <w:sz w:val="32"/>
          <w:szCs w:val="32"/>
        </w:rPr>
        <w:t>行政服务中心运转经费及窗口人员奖励经费</w:t>
      </w:r>
      <w:r>
        <w:rPr>
          <w:rFonts w:hint="eastAsia" w:ascii="仿宋" w:hAnsi="仿宋" w:eastAsia="仿宋" w:cs="仿宋"/>
          <w:sz w:val="32"/>
          <w:szCs w:val="32"/>
        </w:rPr>
        <w:t>支出项目”</w:t>
      </w:r>
      <w:r>
        <w:rPr>
          <w:rFonts w:hint="eastAsia" w:ascii="仿宋" w:hAnsi="仿宋" w:eastAsia="仿宋" w:cs="仿宋_GB2312"/>
          <w:kern w:val="0"/>
          <w:sz w:val="30"/>
          <w:szCs w:val="30"/>
        </w:rPr>
        <w:t>绩效自评得分为</w:t>
      </w:r>
      <w:r>
        <w:rPr>
          <w:rFonts w:hint="eastAsia" w:ascii="仿宋" w:hAnsi="仿宋" w:eastAsia="仿宋" w:cs="仿宋"/>
          <w:bCs/>
          <w:color w:val="000000"/>
          <w:sz w:val="30"/>
          <w:szCs w:val="30"/>
        </w:rPr>
        <w:t>93.19</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分。项目全年预算数为960万元，执行数为</w:t>
      </w:r>
      <w:r>
        <w:rPr>
          <w:rFonts w:hint="eastAsia" w:ascii="仿宋" w:hAnsi="仿宋" w:eastAsia="仿宋" w:cs="仿宋"/>
          <w:color w:val="000000"/>
          <w:kern w:val="0"/>
          <w:sz w:val="32"/>
          <w:szCs w:val="32"/>
        </w:rPr>
        <w:t>532.16</w:t>
      </w:r>
      <w:r>
        <w:rPr>
          <w:rFonts w:hint="eastAsia" w:ascii="仿宋" w:hAnsi="仿宋" w:eastAsia="仿宋" w:cs="仿宋_GB2312"/>
          <w:kern w:val="0"/>
          <w:sz w:val="30"/>
          <w:szCs w:val="30"/>
        </w:rPr>
        <w:t>万元，完成预算的55.41  %。主要产出和效果：</w:t>
      </w:r>
      <w:r>
        <w:rPr>
          <w:rFonts w:hint="eastAsia" w:ascii="仿宋" w:hAnsi="仿宋" w:eastAsia="仿宋" w:cs="仿宋"/>
          <w:b/>
          <w:bCs/>
          <w:color w:val="000000"/>
          <w:sz w:val="32"/>
          <w:szCs w:val="32"/>
        </w:rPr>
        <w:t>1、社会效益</w:t>
      </w:r>
      <w:r>
        <w:rPr>
          <w:rFonts w:hint="eastAsia" w:ascii="仿宋" w:hAnsi="仿宋" w:eastAsia="仿宋" w:cs="仿宋"/>
          <w:color w:val="000000"/>
          <w:sz w:val="32"/>
          <w:szCs w:val="32"/>
        </w:rPr>
        <w:t>服务人员业务水平提升  2019年，项目实施所产生的服务人员业务水平有一定提升。按照绩效评价评分标准，该指标得3.00分。投诉减少率  2019年，项目实施所产生的投诉情况比上年度减少。按照绩效评价评分标准，该指标得满分5分。服务创新度  2019年度，创新服务项目超过3项。按照绩效评价评分标准，该指标得满分5分。</w:t>
      </w:r>
      <w:r>
        <w:rPr>
          <w:rFonts w:hint="eastAsia" w:ascii="仿宋" w:hAnsi="仿宋" w:eastAsia="仿宋" w:cs="仿宋"/>
          <w:b/>
          <w:bCs/>
          <w:color w:val="000000"/>
          <w:sz w:val="32"/>
          <w:szCs w:val="32"/>
        </w:rPr>
        <w:t>2、可持续影响</w:t>
      </w:r>
      <w:r>
        <w:rPr>
          <w:rFonts w:hint="eastAsia" w:ascii="仿宋" w:hAnsi="仿宋" w:eastAsia="仿宋" w:cs="仿宋"/>
          <w:color w:val="000000"/>
          <w:sz w:val="32"/>
          <w:szCs w:val="32"/>
        </w:rPr>
        <w:t>交易运行系统安全保障率  项目实施所产生的交易运行系统安全保障率达到100%。按照绩效评价评分标准，该指标得满分5分。健全长效管理机制  项目实施单位的长效管理机制比较健全。按照绩效评价评分标准，该指标得3.00分。</w:t>
      </w:r>
      <w:r>
        <w:rPr>
          <w:rFonts w:hint="eastAsia" w:ascii="仿宋" w:hAnsi="仿宋" w:eastAsia="仿宋" w:cs="仿宋"/>
          <w:b/>
          <w:bCs/>
          <w:color w:val="000000"/>
          <w:sz w:val="32"/>
          <w:szCs w:val="32"/>
        </w:rPr>
        <w:t>3、满意度</w:t>
      </w:r>
      <w:r>
        <w:rPr>
          <w:rFonts w:hint="eastAsia" w:ascii="仿宋" w:hAnsi="仿宋" w:eastAsia="仿宋" w:cs="仿宋"/>
          <w:color w:val="000000"/>
          <w:sz w:val="32"/>
          <w:szCs w:val="32"/>
        </w:rPr>
        <w:t>窗口工作人员满意度  通过</w:t>
      </w:r>
      <w:r>
        <w:rPr>
          <w:rFonts w:hint="eastAsia" w:ascii="仿宋" w:hAnsi="仿宋" w:eastAsia="仿宋" w:cs="仿宋"/>
          <w:sz w:val="32"/>
          <w:szCs w:val="32"/>
        </w:rPr>
        <w:t>绩效评价工作组</w:t>
      </w:r>
      <w:r>
        <w:rPr>
          <w:rFonts w:hint="eastAsia" w:ascii="仿宋" w:hAnsi="仿宋" w:eastAsia="仿宋" w:cs="仿宋"/>
          <w:color w:val="000000"/>
          <w:sz w:val="32"/>
          <w:szCs w:val="32"/>
        </w:rPr>
        <w:t>开展的窗口工作人员对项目实施效果满意程度调查问卷统计，满意度为91.20%。按照绩效评价评分标准，该指标得满分5分。社会公众满意度  通过</w:t>
      </w:r>
      <w:r>
        <w:rPr>
          <w:rFonts w:hint="eastAsia" w:ascii="仿宋" w:hAnsi="仿宋" w:eastAsia="仿宋" w:cs="仿宋"/>
          <w:sz w:val="32"/>
          <w:szCs w:val="32"/>
        </w:rPr>
        <w:t>绩效评价工作组</w:t>
      </w:r>
      <w:r>
        <w:rPr>
          <w:rFonts w:hint="eastAsia" w:ascii="仿宋" w:hAnsi="仿宋" w:eastAsia="仿宋" w:cs="仿宋"/>
          <w:color w:val="000000"/>
          <w:sz w:val="32"/>
          <w:szCs w:val="32"/>
        </w:rPr>
        <w:t>开展的社会公众对项目实施效果满意程度调查问卷统计，满意度为91.60%。按照绩效评价评分标准，该指标得满分5分。</w:t>
      </w:r>
    </w:p>
    <w:p w14:paraId="70B58558">
      <w:pPr>
        <w:pStyle w:val="19"/>
        <w:snapToGrid w:val="0"/>
        <w:spacing w:before="0" w:after="0" w:line="580" w:lineRule="exact"/>
        <w:ind w:firstLine="602"/>
        <w:rPr>
          <w:rFonts w:ascii="仿宋" w:hAnsi="仿宋" w:eastAsia="仿宋" w:cs="仿宋"/>
          <w:b w:val="0"/>
          <w:bCs/>
          <w:color w:val="000000"/>
          <w:sz w:val="32"/>
          <w:szCs w:val="32"/>
        </w:rPr>
      </w:pPr>
      <w:r>
        <w:rPr>
          <w:rFonts w:hint="eastAsia" w:ascii="仿宋" w:hAnsi="仿宋" w:eastAsia="仿宋" w:cs="仿宋_GB2312"/>
          <w:sz w:val="30"/>
          <w:szCs w:val="30"/>
        </w:rPr>
        <w:t>发现的问题及原因：</w:t>
      </w:r>
      <w:r>
        <w:rPr>
          <w:rFonts w:hint="eastAsia" w:ascii="仿宋" w:hAnsi="仿宋" w:eastAsia="仿宋" w:cs="仿宋"/>
          <w:bCs/>
          <w:color w:val="000000"/>
          <w:sz w:val="32"/>
          <w:szCs w:val="32"/>
        </w:rPr>
        <w:t>1、预算执行率不够高</w:t>
      </w:r>
      <w:r>
        <w:rPr>
          <w:rFonts w:hint="eastAsia" w:ascii="仿宋" w:hAnsi="仿宋" w:eastAsia="仿宋" w:cs="仿宋"/>
          <w:b w:val="0"/>
          <w:color w:val="000000"/>
          <w:sz w:val="32"/>
          <w:szCs w:val="32"/>
        </w:rPr>
        <w:t>2019年度该项目实际支出资金532.16万元，项目预算执行率指标值为55.43%。主要原因是对项目预算绩效管理认识不足。2、</w:t>
      </w:r>
      <w:r>
        <w:rPr>
          <w:rFonts w:hint="eastAsia" w:ascii="仿宋" w:hAnsi="仿宋" w:eastAsia="仿宋" w:cs="仿宋"/>
          <w:bCs/>
          <w:color w:val="000000"/>
          <w:sz w:val="32"/>
          <w:szCs w:val="32"/>
        </w:rPr>
        <w:t>政务服务部门与事项未实现</w:t>
      </w:r>
      <w:r>
        <w:rPr>
          <w:rFonts w:hint="eastAsia" w:ascii="仿宋" w:hAnsi="仿宋" w:eastAsia="仿宋" w:cs="仿宋"/>
          <w:bCs/>
          <w:sz w:val="32"/>
          <w:szCs w:val="32"/>
        </w:rPr>
        <w:t>“进一扇门、办所有事”</w:t>
      </w:r>
      <w:r>
        <w:rPr>
          <w:rFonts w:hint="eastAsia" w:ascii="仿宋" w:hAnsi="仿宋" w:eastAsia="仿宋" w:cs="仿宋"/>
          <w:b w:val="0"/>
          <w:bCs/>
          <w:color w:val="000000"/>
          <w:sz w:val="32"/>
          <w:szCs w:val="32"/>
        </w:rPr>
        <w:t>2019年度，全市除公安车管、交警罚没和税务保留部门专业大厅实现多点可办外，54个部门1110</w:t>
      </w:r>
      <w:r>
        <w:rPr>
          <w:rFonts w:hint="eastAsia" w:ascii="仿宋" w:hAnsi="仿宋" w:eastAsia="仿宋" w:cs="仿宋"/>
          <w:b w:val="0"/>
          <w:bCs/>
          <w:sz w:val="32"/>
          <w:szCs w:val="32"/>
        </w:rPr>
        <w:t>项依申请类政务服务事项已进驻中心集</w:t>
      </w:r>
      <w:r>
        <w:rPr>
          <w:rFonts w:hint="eastAsia" w:ascii="仿宋" w:hAnsi="仿宋" w:eastAsia="仿宋" w:cs="仿宋"/>
          <w:b w:val="0"/>
          <w:bCs/>
          <w:color w:val="000000"/>
          <w:sz w:val="32"/>
          <w:szCs w:val="32"/>
        </w:rPr>
        <w:t>中办理，基本实现了“应进尽进”。主要原因是</w:t>
      </w:r>
      <w:bookmarkStart w:id="0" w:name="_GoBack"/>
      <w:bookmarkEnd w:id="0"/>
      <w:r>
        <w:rPr>
          <w:rFonts w:hint="eastAsia" w:ascii="仿宋" w:hAnsi="仿宋" w:eastAsia="仿宋" w:cs="仿宋"/>
          <w:b w:val="0"/>
          <w:bCs/>
          <w:color w:val="000000"/>
          <w:sz w:val="32"/>
          <w:szCs w:val="32"/>
        </w:rPr>
        <w:t>公安车管、交警罚没和税务等业务工作实际需要，保留了其业务部门大厅多点办理。</w:t>
      </w:r>
    </w:p>
    <w:p w14:paraId="66176AA2"/>
    <w:p w14:paraId="54D5273E">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14:paraId="2CED48C4">
      <w:pPr>
        <w:pStyle w:val="14"/>
        <w:spacing w:line="600" w:lineRule="atLeast"/>
        <w:ind w:firstLine="600"/>
        <w:rPr>
          <w:rFonts w:ascii="仿宋" w:hAnsi="仿宋" w:eastAsia="仿宋"/>
          <w:sz w:val="30"/>
          <w:szCs w:val="30"/>
        </w:rPr>
      </w:pPr>
    </w:p>
    <w:p w14:paraId="18B01C56">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50FD6449">
      <w:pPr>
        <w:ind w:firstLine="630"/>
        <w:jc w:val="left"/>
        <w:rPr>
          <w:rFonts w:ascii="仿宋" w:hAnsi="仿宋" w:eastAsia="仿宋"/>
          <w:sz w:val="30"/>
          <w:szCs w:val="30"/>
        </w:rPr>
      </w:pPr>
    </w:p>
    <w:p w14:paraId="12BB0820">
      <w:pPr>
        <w:rPr>
          <w:rFonts w:hint="eastAsia" w:ascii="仿宋" w:hAnsi="仿宋" w:eastAsia="仿宋"/>
          <w:sz w:val="30"/>
          <w:szCs w:val="30"/>
        </w:rPr>
      </w:pPr>
      <w:r>
        <w:rPr>
          <w:rFonts w:hint="eastAsia" w:ascii="仿宋" w:hAnsi="仿宋" w:eastAsia="仿宋"/>
          <w:sz w:val="30"/>
          <w:szCs w:val="30"/>
        </w:rPr>
        <w:t>第四部分  名词解释</w:t>
      </w:r>
    </w:p>
    <w:p w14:paraId="08B306FA">
      <w:pPr>
        <w:rPr>
          <w:rFonts w:hint="eastAsia" w:ascii="仿宋" w:hAnsi="仿宋" w:eastAsia="仿宋"/>
          <w:sz w:val="30"/>
          <w:szCs w:val="30"/>
        </w:rPr>
      </w:pPr>
      <w:r>
        <w:rPr>
          <w:rFonts w:hint="eastAsia" w:ascii="仿宋" w:hAnsi="仿宋" w:eastAsia="仿宋"/>
          <w:sz w:val="30"/>
          <w:szCs w:val="30"/>
        </w:rPr>
        <w:t> </w:t>
      </w:r>
    </w:p>
    <w:p w14:paraId="0AFE6216">
      <w:pPr>
        <w:rPr>
          <w:rFonts w:hint="eastAsia" w:ascii="仿宋" w:hAnsi="仿宋" w:eastAsia="仿宋"/>
          <w:sz w:val="30"/>
          <w:szCs w:val="30"/>
        </w:rPr>
      </w:pPr>
      <w:r>
        <w:rPr>
          <w:rFonts w:hint="eastAsia" w:ascii="仿宋" w:hAnsi="仿宋" w:eastAsia="仿宋"/>
          <w:sz w:val="30"/>
          <w:szCs w:val="30"/>
        </w:rPr>
        <w:t>    名词解释应以财务会计制度、政府收支分类科目以及部门预算管理等规定为基本说明，可在此基础上结合部门实际情况适当细化。“三公”经费支出和机关运行经费支出口径必需予以说明。</w:t>
      </w:r>
    </w:p>
    <w:p w14:paraId="7A29A92D">
      <w:pPr>
        <w:rPr>
          <w:rFonts w:hint="eastAsia" w:ascii="仿宋" w:hAnsi="仿宋" w:eastAsia="仿宋"/>
          <w:sz w:val="30"/>
          <w:szCs w:val="30"/>
        </w:rPr>
      </w:pPr>
      <w:r>
        <w:rPr>
          <w:rFonts w:hint="eastAsia" w:ascii="仿宋" w:hAnsi="仿宋" w:eastAsia="仿宋"/>
          <w:sz w:val="30"/>
          <w:szCs w:val="30"/>
        </w:rPr>
        <w:t>（一）财政拨款：指市级财政当年拨付的资金。</w:t>
      </w:r>
    </w:p>
    <w:p w14:paraId="5E853AB0">
      <w:pPr>
        <w:rPr>
          <w:rFonts w:hint="eastAsia" w:ascii="仿宋" w:hAnsi="仿宋" w:eastAsia="仿宋"/>
          <w:sz w:val="30"/>
          <w:szCs w:val="30"/>
        </w:rPr>
      </w:pPr>
      <w:r>
        <w:rPr>
          <w:rFonts w:hint="eastAsia" w:ascii="仿宋" w:hAnsi="仿宋" w:eastAsia="仿宋"/>
          <w:sz w:val="30"/>
          <w:szCs w:val="30"/>
        </w:rPr>
        <w:t>（二）事业收入：指事业单位开展专业业务活动及辅助活动取得的收入。</w:t>
      </w:r>
    </w:p>
    <w:p w14:paraId="2A3B4BA5">
      <w:pPr>
        <w:rPr>
          <w:rFonts w:hint="eastAsia" w:ascii="仿宋" w:hAnsi="仿宋" w:eastAsia="仿宋"/>
          <w:sz w:val="30"/>
          <w:szCs w:val="30"/>
        </w:rPr>
      </w:pPr>
      <w:r>
        <w:rPr>
          <w:rFonts w:hint="eastAsia" w:ascii="仿宋" w:hAnsi="仿宋" w:eastAsia="仿宋"/>
          <w:sz w:val="30"/>
          <w:szCs w:val="30"/>
        </w:rPr>
        <w:t>（三）行政运行：反映行政单位（包括参公单位）的基本支出。</w:t>
      </w:r>
    </w:p>
    <w:p w14:paraId="4FDA2E0E">
      <w:pPr>
        <w:rPr>
          <w:rFonts w:hint="eastAsia" w:ascii="仿宋" w:hAnsi="仿宋" w:eastAsia="仿宋"/>
          <w:sz w:val="30"/>
          <w:szCs w:val="30"/>
        </w:rPr>
      </w:pPr>
      <w:r>
        <w:rPr>
          <w:rFonts w:hint="eastAsia" w:ascii="仿宋" w:hAnsi="仿宋" w:eastAsia="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6B84536B">
      <w:pPr>
        <w:rPr>
          <w:rFonts w:ascii="仿宋" w:hAnsi="仿宋" w:eastAsia="仿宋" w:cs="仿宋"/>
          <w:kern w:val="0"/>
          <w:sz w:val="30"/>
          <w:szCs w:val="30"/>
        </w:rPr>
      </w:pPr>
      <w:r>
        <w:rPr>
          <w:rFonts w:hint="eastAsia" w:ascii="仿宋" w:hAnsi="仿宋" w:eastAsia="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7C9D0"/>
    <w:multiLevelType w:val="singleLevel"/>
    <w:tmpl w:val="6487C9D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8D07D4"/>
    <w:rsid w:val="00941002"/>
    <w:rsid w:val="0A381EF2"/>
    <w:rsid w:val="1BE173B8"/>
    <w:rsid w:val="1D7E669C"/>
    <w:rsid w:val="25381DA8"/>
    <w:rsid w:val="352A495A"/>
    <w:rsid w:val="3E1673D8"/>
    <w:rsid w:val="3F691862"/>
    <w:rsid w:val="418A30F2"/>
    <w:rsid w:val="459C300E"/>
    <w:rsid w:val="4ADC2416"/>
    <w:rsid w:val="5BCB1215"/>
    <w:rsid w:val="5E673C19"/>
    <w:rsid w:val="69BF0105"/>
    <w:rsid w:val="7F59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qFormat/>
    <w:uiPriority w:val="0"/>
    <w:rPr>
      <w:sz w:val="18"/>
      <w:szCs w:val="18"/>
    </w:rPr>
  </w:style>
  <w:style w:type="paragraph" w:styleId="3">
    <w:name w:val="Normal (Web)"/>
    <w:basedOn w:val="1"/>
    <w:qFormat/>
    <w:uiPriority w:val="0"/>
    <w:pPr>
      <w:spacing w:beforeAutospacing="1" w:afterAutospacing="1"/>
      <w:jc w:val="left"/>
    </w:pPr>
    <w:rPr>
      <w:kern w:val="0"/>
      <w:sz w:val="24"/>
    </w:rPr>
  </w:style>
  <w:style w:type="character" w:styleId="6">
    <w:name w:val="FollowedHyperlink"/>
    <w:basedOn w:val="5"/>
    <w:uiPriority w:val="0"/>
    <w:rPr>
      <w:color w:val="136EC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136EC2"/>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paragraph" w:customStyle="1" w:styleId="14">
    <w:name w:val="p0"/>
    <w:basedOn w:val="1"/>
    <w:qFormat/>
    <w:uiPriority w:val="0"/>
    <w:pPr>
      <w:widowControl/>
    </w:pPr>
    <w:rPr>
      <w:kern w:val="0"/>
      <w:szCs w:val="21"/>
    </w:rPr>
  </w:style>
  <w:style w:type="character" w:customStyle="1" w:styleId="15">
    <w:name w:val="btn-auto-1"/>
    <w:basedOn w:val="5"/>
    <w:qFormat/>
    <w:uiPriority w:val="0"/>
  </w:style>
  <w:style w:type="character" w:customStyle="1" w:styleId="16">
    <w:name w:val="btn-task-gray2"/>
    <w:basedOn w:val="5"/>
    <w:qFormat/>
    <w:uiPriority w:val="0"/>
  </w:style>
  <w:style w:type="character" w:customStyle="1" w:styleId="17">
    <w:name w:val="btn-task-gray3"/>
    <w:basedOn w:val="5"/>
    <w:qFormat/>
    <w:uiPriority w:val="0"/>
    <w:rPr>
      <w:color w:val="FFFFFF"/>
      <w:u w:val="none"/>
      <w:shd w:val="clear" w:color="auto" w:fill="CCCCCC"/>
    </w:rPr>
  </w:style>
  <w:style w:type="character" w:customStyle="1" w:styleId="18">
    <w:name w:val="s1"/>
    <w:basedOn w:val="5"/>
    <w:qFormat/>
    <w:uiPriority w:val="0"/>
    <w:rPr>
      <w:color w:val="DDDDDD"/>
      <w:sz w:val="14"/>
      <w:szCs w:val="14"/>
    </w:rPr>
  </w:style>
  <w:style w:type="paragraph" w:customStyle="1" w:styleId="19">
    <w:name w:val="闻政标题5"/>
    <w:basedOn w:val="1"/>
    <w:qFormat/>
    <w:uiPriority w:val="0"/>
    <w:pPr>
      <w:spacing w:before="120" w:after="60" w:line="500" w:lineRule="exact"/>
      <w:ind w:firstLine="200" w:firstLineChars="200"/>
    </w:pPr>
    <w:rPr>
      <w:rFonts w:eastAsia="仿宋_GB2312"/>
      <w:b/>
      <w:kern w:val="0"/>
      <w:sz w:val="28"/>
      <w:szCs w:val="28"/>
    </w:rPr>
  </w:style>
  <w:style w:type="character" w:customStyle="1" w:styleId="2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3213</Words>
  <Characters>3556</Characters>
  <Lines>29</Lines>
  <Paragraphs>8</Paragraphs>
  <TotalTime>4</TotalTime>
  <ScaleCrop>false</ScaleCrop>
  <LinksUpToDate>false</LinksUpToDate>
  <CharactersWithSpaces>3720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2020-10-14T06:06:00Z</dcterms:created>
  <dc:creator>DELL</dc:creator>
  <cp:lastModifiedBy>L</cp:lastModifiedBy>
  <dcterms:modified xsi:type="dcterms:W3CDTF">2025-06-30T09:07:30Z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eyJoZGlkIjoiMjE2YWY5NzI1MThhZDljY2U3MzkwYzYyOTljZjg5ZmIiLCJ1c2VySWQiOiI0OTI4NTc5NzEifQ==</vt:lpwstr>
  </property>
  <property fmtid="{D5CDD505-2E9C-101B-9397-08002B2CF9AE}" pid="4" name="ICV">
    <vt:lpwstr>49D9B362A0214D1F9D1A2D3356E04697_12</vt:lpwstr>
  </property>
</Properties>
</file>