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val="en-US" w:eastAsia="zh-CN"/>
        </w:rPr>
        <w:t>景德镇</w:t>
      </w:r>
      <w:bookmarkStart w:id="0" w:name="_GoBack"/>
      <w:bookmarkEnd w:id="0"/>
      <w:r>
        <w:rPr>
          <w:rFonts w:hint="eastAsia" w:ascii="黑体" w:hAnsi="黑体" w:eastAsia="黑体"/>
          <w:sz w:val="44"/>
          <w:szCs w:val="36"/>
          <w:lang w:val="en-US" w:eastAsia="zh-CN"/>
        </w:rPr>
        <w:t>市退役军人事务局</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第一部分 市退役军人事务局概况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第一部分 市退役军人事务局概况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景德镇市退役军人事务局是市政府工作部门，主要职责是：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(一)拟订全市退役军人思想政治、管理保障和安置优抚等工作地方性法规规章和政策并组织实施，褒扬彰显退役军人为党、国家和人民牺牲奉献的精神风范和价值导向。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(二)负责全市军队转业干部、复员干部、离休退休干部、退役士兵和无军籍退休退职职工的移交安置工作和自主择业、就业退役军人服务管理等有关工作。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(三)组织指导全市退役军人教育培训工作，协调扶持退役军人和随军随调家属就业创业。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(四)会同有关部门拟定全市退役军人特殊保障政策并组织落实。</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(五)组织协调落实军队移交我市符合条件的离休退休干部住房补贴和无军籍退休退职职工住房维修、房租补贴发放等服务保障工作，以及退役军人医疗保障、社会保险等待遇保障工作。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六)组织指导全市伤病残退役军人服务管理和抚恤工作，会同有关部门拟订有关退役军人医疗、疗养、养老等机构的规划政策并指导实施。承担不适宜继续服役的伤病残军人相关工作。组织指导军供服务保障工作。</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(七)组织指导全市拥军优属工作。负责现役军人、退役军人、军队文职人员和军属优待、抚恤等工作，落实国民党抗战老兵等有关人员优待政策。</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八)负责烈士及退役军人荣誉奖励、军人公墓管理维护、纪念活动等工作，依法承担英雄烈士保护相关工作，审核拟列入市级烈士纪念设施名录，按规定总结表彰和宣扬退役军人、退役军人工作单位和个人先进典型事迹。</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(九)指导并监督检查退役军人相关法律法规和政策措施的落实，组织开展退役军人权益维护和有关人员的帮扶援助工作。指导督促所属单位进行安全管理。</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(十)在征求市委组织、机构编制等部门意见基础上，牵头提出全市计划分配军队转业干部、符合条件的退役士兵的安置计划。</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(十一)完成市委、市政府交办的其他任务。</w:t>
      </w:r>
    </w:p>
    <w:p>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jc w:val="both"/>
        <w:textAlignment w:val="auto"/>
        <w:rPr>
          <w:rFonts w:hint="eastAsia" w:ascii="仿宋" w:hAnsi="仿宋" w:eastAsia="仿宋"/>
          <w:sz w:val="30"/>
          <w:szCs w:val="30"/>
        </w:rPr>
      </w:pPr>
      <w:r>
        <w:rPr>
          <w:rFonts w:hint="eastAsia" w:ascii="仿宋" w:hAnsi="仿宋" w:eastAsia="仿宋" w:cs="仿宋"/>
          <w:b w:val="0"/>
          <w:bCs w:val="0"/>
          <w:sz w:val="30"/>
          <w:szCs w:val="30"/>
          <w:lang w:val="en-US" w:eastAsia="zh-CN"/>
        </w:rPr>
        <w:t>(十二)职能转变。市退役军人事务局应加强全市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宋体" w:hAnsi="宋体"/>
          <w:b/>
          <w:sz w:val="32"/>
          <w:szCs w:val="32"/>
        </w:rPr>
      </w:pPr>
      <w:r>
        <w:rPr>
          <w:rFonts w:hint="eastAsia" w:ascii="仿宋" w:hAnsi="仿宋" w:eastAsia="仿宋"/>
          <w:sz w:val="30"/>
          <w:szCs w:val="30"/>
        </w:rPr>
        <w:t>纳入本套部门决算汇编范围的单位</w:t>
      </w:r>
      <w:r>
        <w:rPr>
          <w:rFonts w:hint="eastAsia" w:ascii="仿宋" w:hAnsi="仿宋" w:eastAsia="仿宋"/>
          <w:sz w:val="30"/>
          <w:szCs w:val="30"/>
          <w:lang w:val="en-US" w:eastAsia="zh-CN"/>
        </w:rPr>
        <w:t>共1</w:t>
      </w:r>
      <w:r>
        <w:rPr>
          <w:rFonts w:hint="eastAsia" w:ascii="仿宋" w:hAnsi="仿宋" w:eastAsia="仿宋"/>
          <w:sz w:val="30"/>
          <w:szCs w:val="30"/>
        </w:rPr>
        <w:t>个，</w:t>
      </w:r>
      <w:r>
        <w:rPr>
          <w:rFonts w:hint="eastAsia" w:ascii="仿宋" w:hAnsi="仿宋" w:eastAsia="仿宋"/>
          <w:sz w:val="30"/>
          <w:szCs w:val="30"/>
          <w:lang w:val="en-US" w:eastAsia="zh-CN"/>
        </w:rPr>
        <w:t>即市退役军人事务局。</w:t>
      </w: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13</w:t>
      </w:r>
      <w:r>
        <w:rPr>
          <w:rFonts w:hint="eastAsia" w:ascii="仿宋" w:hAnsi="仿宋" w:eastAsia="仿宋"/>
          <w:sz w:val="30"/>
          <w:szCs w:val="30"/>
        </w:rPr>
        <w:t>人，其中在职人员</w:t>
      </w:r>
      <w:r>
        <w:rPr>
          <w:rFonts w:hint="eastAsia" w:ascii="仿宋" w:hAnsi="仿宋" w:eastAsia="仿宋"/>
          <w:sz w:val="30"/>
          <w:szCs w:val="30"/>
          <w:lang w:val="en-US" w:eastAsia="zh-CN"/>
        </w:rPr>
        <w:t>13</w:t>
      </w:r>
      <w:r>
        <w:rPr>
          <w:rFonts w:hint="eastAsia" w:ascii="仿宋" w:hAnsi="仿宋" w:eastAsia="仿宋"/>
          <w:sz w:val="30"/>
          <w:szCs w:val="30"/>
        </w:rPr>
        <w:t>人</w:t>
      </w:r>
      <w:r>
        <w:rPr>
          <w:rFonts w:hint="eastAsia" w:ascii="仿宋" w:hAnsi="仿宋" w:eastAsia="仿宋"/>
          <w:sz w:val="30"/>
          <w:szCs w:val="30"/>
          <w:lang w:eastAsia="zh-CN"/>
        </w:rPr>
        <w:t>。</w:t>
      </w:r>
    </w:p>
    <w:p>
      <w:pPr>
        <w:widowControl/>
        <w:numPr>
          <w:ilvl w:val="0"/>
          <w:numId w:val="1"/>
        </w:numPr>
        <w:spacing w:line="600" w:lineRule="exact"/>
        <w:ind w:firstLine="640"/>
        <w:jc w:val="center"/>
        <w:rPr>
          <w:rFonts w:hint="eastAsia" w:ascii="宋体" w:hAnsi="宋体"/>
          <w:b/>
          <w:sz w:val="32"/>
          <w:szCs w:val="32"/>
        </w:rPr>
      </w:pPr>
      <w:r>
        <w:rPr>
          <w:rFonts w:hint="eastAsia" w:ascii="宋体" w:hAnsi="宋体"/>
          <w:b/>
          <w:sz w:val="32"/>
          <w:szCs w:val="32"/>
        </w:rPr>
        <w:t xml:space="preserve"> 201</w:t>
      </w:r>
      <w:r>
        <w:rPr>
          <w:rFonts w:hint="eastAsia" w:ascii="宋体" w:hAnsi="宋体"/>
          <w:b/>
          <w:sz w:val="32"/>
          <w:szCs w:val="32"/>
          <w:lang w:val="en-US" w:eastAsia="zh-CN"/>
        </w:rPr>
        <w:t>9</w:t>
      </w:r>
      <w:r>
        <w:rPr>
          <w:rFonts w:hint="eastAsia" w:ascii="宋体" w:hAnsi="宋体"/>
          <w:b/>
          <w:sz w:val="32"/>
          <w:szCs w:val="32"/>
        </w:rPr>
        <w:t>年度部门决算表</w:t>
      </w:r>
    </w:p>
    <w:p>
      <w:pPr>
        <w:widowControl/>
        <w:numPr>
          <w:ilvl w:val="0"/>
          <w:numId w:val="0"/>
        </w:numPr>
        <w:spacing w:line="600" w:lineRule="exact"/>
        <w:jc w:val="both"/>
        <w:rPr>
          <w:rFonts w:hint="eastAsia" w:ascii="宋体" w:hAnsi="宋体"/>
          <w:b/>
          <w:sz w:val="32"/>
          <w:szCs w:val="32"/>
        </w:rPr>
      </w:pPr>
    </w:p>
    <w:p>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68595" cy="4878705"/>
            <wp:effectExtent l="0" t="0" r="8255" b="17145"/>
            <wp:docPr id="16" name="图片 16" descr="6b410f378c8861e6f09aed6bda6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b410f378c8861e6f09aed6bda65604"/>
                    <pic:cNvPicPr>
                      <a:picLocks noChangeAspect="1"/>
                    </pic:cNvPicPr>
                  </pic:nvPicPr>
                  <pic:blipFill>
                    <a:blip r:embed="rId4"/>
                    <a:stretch>
                      <a:fillRect/>
                    </a:stretch>
                  </pic:blipFill>
                  <pic:spPr>
                    <a:xfrm>
                      <a:off x="0" y="0"/>
                      <a:ext cx="5268595" cy="4878705"/>
                    </a:xfrm>
                    <a:prstGeom prst="rect">
                      <a:avLst/>
                    </a:prstGeom>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center"/>
        <w:rPr>
          <w:rFonts w:hint="eastAsia" w:eastAsia="宋体"/>
          <w:lang w:eastAsia="zh-CN"/>
        </w:rPr>
      </w:pPr>
      <w:r>
        <w:rPr>
          <w:rFonts w:hint="eastAsia" w:eastAsia="宋体"/>
          <w:lang w:eastAsia="zh-CN"/>
        </w:rPr>
        <w:drawing>
          <wp:inline distT="0" distB="0" distL="114300" distR="114300">
            <wp:extent cx="5271135" cy="2348230"/>
            <wp:effectExtent l="0" t="0" r="5715" b="13970"/>
            <wp:docPr id="17" name="图片 17" descr="0639804060c7f84446eef3a9d4109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0639804060c7f84446eef3a9d41090a"/>
                    <pic:cNvPicPr>
                      <a:picLocks noChangeAspect="1"/>
                    </pic:cNvPicPr>
                  </pic:nvPicPr>
                  <pic:blipFill>
                    <a:blip r:embed="rId5"/>
                    <a:stretch>
                      <a:fillRect/>
                    </a:stretch>
                  </pic:blipFill>
                  <pic:spPr>
                    <a:xfrm>
                      <a:off x="0" y="0"/>
                      <a:ext cx="5271135" cy="234823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szCs w:val="30"/>
        </w:rPr>
      </w:pPr>
      <w:r>
        <w:rPr>
          <w:rFonts w:hint="eastAsia" w:eastAsia="宋体"/>
          <w:lang w:eastAsia="zh-CN"/>
        </w:rPr>
        <w:drawing>
          <wp:inline distT="0" distB="0" distL="114300" distR="114300">
            <wp:extent cx="5270500" cy="1936115"/>
            <wp:effectExtent l="0" t="0" r="6350" b="6985"/>
            <wp:docPr id="18" name="图片 18" descr="7792510fd9815634e3a78b618a89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7792510fd9815634e3a78b618a890ce"/>
                    <pic:cNvPicPr>
                      <a:picLocks noChangeAspect="1"/>
                    </pic:cNvPicPr>
                  </pic:nvPicPr>
                  <pic:blipFill>
                    <a:blip r:embed="rId6"/>
                    <a:stretch>
                      <a:fillRect/>
                    </a:stretch>
                  </pic:blipFill>
                  <pic:spPr>
                    <a:xfrm>
                      <a:off x="0" y="0"/>
                      <a:ext cx="5270500" cy="1936115"/>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eastAsia="宋体"/>
          <w:szCs w:val="30"/>
          <w:lang w:eastAsia="zh-CN"/>
        </w:rPr>
        <w:drawing>
          <wp:inline distT="0" distB="0" distL="114300" distR="114300">
            <wp:extent cx="5269865" cy="4086860"/>
            <wp:effectExtent l="0" t="0" r="6985" b="8890"/>
            <wp:docPr id="19" name="图片 19" descr="9c2abcc6c911e93f07e77da8317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9c2abcc6c911e93f07e77da83170654"/>
                    <pic:cNvPicPr>
                      <a:picLocks noChangeAspect="1"/>
                    </pic:cNvPicPr>
                  </pic:nvPicPr>
                  <pic:blipFill>
                    <a:blip r:embed="rId7"/>
                    <a:stretch>
                      <a:fillRect/>
                    </a:stretch>
                  </pic:blipFill>
                  <pic:spPr>
                    <a:xfrm>
                      <a:off x="0" y="0"/>
                      <a:ext cx="5269865" cy="4086860"/>
                    </a:xfrm>
                    <a:prstGeom prst="rect">
                      <a:avLst/>
                    </a:prstGeom>
                  </pic:spPr>
                </pic:pic>
              </a:graphicData>
            </a:graphic>
          </wp:inline>
        </w:drawing>
      </w:r>
    </w:p>
    <w:p>
      <w:pPr>
        <w:autoSpaceDE w:val="0"/>
        <w:autoSpaceDN w:val="0"/>
        <w:adjustRightInd w:val="0"/>
        <w:spacing w:line="360" w:lineRule="auto"/>
        <w:jc w:val="left"/>
        <w:rPr>
          <w:rFonts w:hint="eastAsia"/>
          <w:szCs w:val="30"/>
        </w:rPr>
      </w:pPr>
      <w:r>
        <w:rPr>
          <w:rFonts w:hint="eastAsia" w:eastAsia="宋体"/>
          <w:szCs w:val="30"/>
          <w:lang w:eastAsia="zh-CN"/>
        </w:rPr>
        <w:drawing>
          <wp:inline distT="0" distB="0" distL="114300" distR="114300">
            <wp:extent cx="5270500" cy="2608580"/>
            <wp:effectExtent l="0" t="0" r="6350" b="1270"/>
            <wp:docPr id="20" name="图片 20" descr="8e2b7c5b77316d7a7c8632e524ba6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8e2b7c5b77316d7a7c8632e524ba6f6"/>
                    <pic:cNvPicPr>
                      <a:picLocks noChangeAspect="1"/>
                    </pic:cNvPicPr>
                  </pic:nvPicPr>
                  <pic:blipFill>
                    <a:blip r:embed="rId8"/>
                    <a:stretch>
                      <a:fillRect/>
                    </a:stretch>
                  </pic:blipFill>
                  <pic:spPr>
                    <a:xfrm>
                      <a:off x="0" y="0"/>
                      <a:ext cx="5270500" cy="2608580"/>
                    </a:xfrm>
                    <a:prstGeom prst="rect">
                      <a:avLst/>
                    </a:prstGeom>
                  </pic:spPr>
                </pic:pic>
              </a:graphicData>
            </a:graphic>
          </wp:inline>
        </w:drawing>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21" name="图片 21" descr="3b788a6524cb7c793bddbec1193c3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3b788a6524cb7c793bddbec1193c33d"/>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675" cy="4375150"/>
            <wp:effectExtent l="0" t="0" r="3175" b="6350"/>
            <wp:docPr id="22" name="图片 22" descr="978ffde84393838f069f4aaba8e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978ffde84393838f069f4aaba8ec580"/>
                    <pic:cNvPicPr>
                      <a:picLocks noChangeAspect="1"/>
                    </pic:cNvPicPr>
                  </pic:nvPicPr>
                  <pic:blipFill>
                    <a:blip r:embed="rId10"/>
                    <a:stretch>
                      <a:fillRect/>
                    </a:stretch>
                  </pic:blipFill>
                  <pic:spPr>
                    <a:xfrm>
                      <a:off x="0" y="0"/>
                      <a:ext cx="5273675" cy="4375150"/>
                    </a:xfrm>
                    <a:prstGeom prst="rect">
                      <a:avLst/>
                    </a:prstGeom>
                  </pic:spPr>
                </pic:pic>
              </a:graphicData>
            </a:graphic>
          </wp:inline>
        </w:drawing>
      </w:r>
    </w:p>
    <w:p>
      <w:pPr>
        <w:autoSpaceDE w:val="0"/>
        <w:autoSpaceDN w:val="0"/>
        <w:adjustRightInd w:val="0"/>
        <w:spacing w:line="360" w:lineRule="auto"/>
        <w:jc w:val="center"/>
        <w:rPr>
          <w:rFonts w:hint="eastAsia" w:eastAsia="宋体"/>
          <w:szCs w:val="30"/>
          <w:lang w:eastAsia="zh-CN"/>
        </w:rPr>
      </w:pPr>
      <w:r>
        <w:rPr>
          <w:rFonts w:hint="eastAsia" w:eastAsia="宋体"/>
          <w:szCs w:val="30"/>
          <w:lang w:eastAsia="zh-CN"/>
        </w:rPr>
        <w:drawing>
          <wp:inline distT="0" distB="0" distL="114300" distR="114300">
            <wp:extent cx="5268595" cy="1692910"/>
            <wp:effectExtent l="0" t="0" r="8255" b="2540"/>
            <wp:docPr id="23" name="图片 23" descr="0a3d5bccbc92e69b40170c7baf3f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0a3d5bccbc92e69b40170c7baf3f682"/>
                    <pic:cNvPicPr>
                      <a:picLocks noChangeAspect="1"/>
                    </pic:cNvPicPr>
                  </pic:nvPicPr>
                  <pic:blipFill>
                    <a:blip r:embed="rId11"/>
                    <a:stretch>
                      <a:fillRect/>
                    </a:stretch>
                  </pic:blipFill>
                  <pic:spPr>
                    <a:xfrm>
                      <a:off x="0" y="0"/>
                      <a:ext cx="5268595" cy="169291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center"/>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4791075" cy="2962275"/>
            <wp:effectExtent l="0" t="0" r="9525" b="9525"/>
            <wp:docPr id="24" name="图片 24" descr="e42f6dc244c603475d08842b7fa0b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e42f6dc244c603475d08842b7fa0beb"/>
                    <pic:cNvPicPr>
                      <a:picLocks noChangeAspect="1"/>
                    </pic:cNvPicPr>
                  </pic:nvPicPr>
                  <pic:blipFill>
                    <a:blip r:embed="rId12"/>
                    <a:stretch>
                      <a:fillRect/>
                    </a:stretch>
                  </pic:blipFill>
                  <pic:spPr>
                    <a:xfrm>
                      <a:off x="0" y="0"/>
                      <a:ext cx="4791075" cy="2962275"/>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3403.99</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；本年收入合计</w:t>
      </w:r>
      <w:r>
        <w:rPr>
          <w:rFonts w:hint="eastAsia" w:ascii="仿宋" w:hAnsi="仿宋" w:eastAsia="仿宋"/>
          <w:sz w:val="30"/>
          <w:szCs w:val="30"/>
          <w:lang w:val="en-US" w:eastAsia="zh-CN"/>
        </w:rPr>
        <w:t>3403.99</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w:t>
      </w:r>
      <w:r>
        <w:rPr>
          <w:rFonts w:hint="eastAsia" w:ascii="仿宋" w:hAnsi="仿宋" w:eastAsia="仿宋"/>
          <w:sz w:val="30"/>
          <w:szCs w:val="30"/>
          <w:lang w:val="en-US" w:eastAsia="zh-CN"/>
        </w:rPr>
        <w:t>入1702.22</w:t>
      </w:r>
      <w:r>
        <w:rPr>
          <w:rFonts w:hint="eastAsia" w:ascii="仿宋" w:hAnsi="仿宋" w:eastAsia="仿宋"/>
          <w:sz w:val="30"/>
          <w:szCs w:val="30"/>
        </w:rPr>
        <w:t>万元，占</w:t>
      </w:r>
      <w:r>
        <w:rPr>
          <w:rFonts w:hint="eastAsia" w:ascii="仿宋" w:hAnsi="仿宋" w:eastAsia="仿宋"/>
          <w:sz w:val="30"/>
          <w:szCs w:val="30"/>
          <w:lang w:val="en-US" w:eastAsia="zh-CN"/>
        </w:rPr>
        <w:t>50.01</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1701.77</w:t>
      </w:r>
      <w:r>
        <w:rPr>
          <w:rFonts w:hint="eastAsia" w:ascii="仿宋" w:hAnsi="仿宋" w:eastAsia="仿宋"/>
          <w:sz w:val="30"/>
          <w:szCs w:val="30"/>
        </w:rPr>
        <w:t>万元，占</w:t>
      </w:r>
      <w:r>
        <w:rPr>
          <w:rFonts w:hint="eastAsia" w:ascii="仿宋" w:hAnsi="仿宋" w:eastAsia="仿宋"/>
          <w:sz w:val="30"/>
          <w:szCs w:val="30"/>
          <w:lang w:val="en-US" w:eastAsia="zh-CN"/>
        </w:rPr>
        <w:t>49.99</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3403.99</w:t>
      </w:r>
      <w:r>
        <w:rPr>
          <w:rFonts w:hint="eastAsia" w:ascii="仿宋" w:hAnsi="仿宋" w:eastAsia="仿宋"/>
          <w:sz w:val="30"/>
          <w:szCs w:val="30"/>
        </w:rPr>
        <w:t>万元，其中本年支出合计</w:t>
      </w:r>
      <w:r>
        <w:rPr>
          <w:rFonts w:hint="eastAsia" w:ascii="仿宋" w:hAnsi="仿宋" w:eastAsia="仿宋"/>
          <w:sz w:val="30"/>
          <w:szCs w:val="30"/>
          <w:lang w:val="en-US" w:eastAsia="zh-CN"/>
        </w:rPr>
        <w:t>1874.71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r>
        <w:rPr>
          <w:rFonts w:hint="eastAsia" w:ascii="仿宋" w:hAnsi="仿宋" w:eastAsia="仿宋"/>
          <w:sz w:val="30"/>
          <w:szCs w:val="30"/>
        </w:rPr>
        <w:t>；年末结转和结余</w:t>
      </w:r>
      <w:r>
        <w:rPr>
          <w:rFonts w:hint="eastAsia" w:ascii="仿宋" w:hAnsi="仿宋" w:eastAsia="仿宋"/>
          <w:sz w:val="30"/>
          <w:szCs w:val="30"/>
          <w:lang w:val="en-US" w:eastAsia="zh-CN"/>
        </w:rPr>
        <w:t>1529.28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118.46</w:t>
      </w:r>
      <w:r>
        <w:rPr>
          <w:rFonts w:hint="eastAsia" w:ascii="仿宋" w:hAnsi="仿宋" w:eastAsia="仿宋"/>
          <w:sz w:val="30"/>
          <w:szCs w:val="30"/>
        </w:rPr>
        <w:t>万元，占</w:t>
      </w:r>
      <w:r>
        <w:rPr>
          <w:rFonts w:hint="eastAsia" w:ascii="仿宋" w:hAnsi="仿宋" w:eastAsia="仿宋"/>
          <w:sz w:val="30"/>
          <w:szCs w:val="30"/>
          <w:lang w:val="en-US" w:eastAsia="zh-CN"/>
        </w:rPr>
        <w:t>6.32</w:t>
      </w:r>
      <w:r>
        <w:rPr>
          <w:rFonts w:hint="eastAsia" w:ascii="仿宋" w:hAnsi="仿宋" w:eastAsia="仿宋"/>
          <w:sz w:val="30"/>
          <w:szCs w:val="30"/>
        </w:rPr>
        <w:t>%；项目支出</w:t>
      </w:r>
      <w:r>
        <w:rPr>
          <w:rFonts w:hint="eastAsia" w:ascii="仿宋" w:hAnsi="仿宋" w:eastAsia="仿宋"/>
          <w:sz w:val="30"/>
          <w:szCs w:val="30"/>
          <w:lang w:val="en-US" w:eastAsia="zh-CN"/>
        </w:rPr>
        <w:t>1756.25</w:t>
      </w:r>
      <w:r>
        <w:rPr>
          <w:rFonts w:hint="eastAsia" w:ascii="仿宋" w:hAnsi="仿宋" w:eastAsia="仿宋"/>
          <w:sz w:val="30"/>
          <w:szCs w:val="30"/>
        </w:rPr>
        <w:t>万元，占</w:t>
      </w:r>
      <w:r>
        <w:rPr>
          <w:rFonts w:hint="eastAsia" w:ascii="仿宋" w:hAnsi="仿宋" w:eastAsia="仿宋"/>
          <w:sz w:val="30"/>
          <w:szCs w:val="30"/>
          <w:lang w:val="en-US" w:eastAsia="zh-CN"/>
        </w:rPr>
        <w:t>93.68</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1702.22</w:t>
      </w:r>
      <w:r>
        <w:rPr>
          <w:rFonts w:hint="eastAsia" w:ascii="仿宋" w:hAnsi="仿宋" w:eastAsia="仿宋"/>
          <w:sz w:val="30"/>
          <w:szCs w:val="30"/>
        </w:rPr>
        <w:t>万元。其中：</w:t>
      </w:r>
    </w:p>
    <w:p>
      <w:pPr>
        <w:ind w:firstLine="630"/>
        <w:jc w:val="left"/>
        <w:rPr>
          <w:rFonts w:hint="eastAsia" w:ascii="仿宋" w:hAnsi="仿宋" w:eastAsia="仿宋"/>
          <w:sz w:val="30"/>
          <w:szCs w:val="30"/>
        </w:rPr>
      </w:pPr>
      <w:r>
        <w:rPr>
          <w:rFonts w:hint="eastAsia" w:ascii="仿宋" w:hAnsi="仿宋" w:eastAsia="仿宋"/>
          <w:sz w:val="30"/>
          <w:szCs w:val="30"/>
        </w:rPr>
        <w:t>（一）</w:t>
      </w:r>
      <w:r>
        <w:rPr>
          <w:rFonts w:hint="eastAsia" w:ascii="仿宋" w:hAnsi="仿宋" w:eastAsia="仿宋"/>
          <w:sz w:val="30"/>
          <w:szCs w:val="30"/>
          <w:lang w:val="en-US" w:eastAsia="zh-CN"/>
        </w:rPr>
        <w:t>社会保障和就业</w:t>
      </w:r>
      <w:r>
        <w:rPr>
          <w:rFonts w:hint="eastAsia" w:ascii="仿宋" w:hAnsi="仿宋" w:eastAsia="仿宋"/>
          <w:sz w:val="30"/>
          <w:szCs w:val="30"/>
        </w:rPr>
        <w:t>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551.86</w:t>
      </w:r>
      <w:r>
        <w:rPr>
          <w:rFonts w:hint="eastAsia" w:ascii="仿宋" w:hAnsi="仿宋" w:eastAsia="仿宋"/>
          <w:sz w:val="30"/>
          <w:szCs w:val="30"/>
        </w:rPr>
        <w:t>万元，主要原因是</w:t>
      </w:r>
      <w:r>
        <w:rPr>
          <w:rFonts w:hint="eastAsia" w:ascii="仿宋" w:hAnsi="仿宋" w:eastAsia="仿宋"/>
          <w:sz w:val="30"/>
          <w:szCs w:val="30"/>
          <w:lang w:eastAsia="zh-CN"/>
        </w:rPr>
        <w:t>：</w:t>
      </w:r>
      <w:r>
        <w:rPr>
          <w:rFonts w:hint="eastAsia" w:ascii="仿宋" w:hAnsi="仿宋" w:eastAsia="仿宋"/>
          <w:sz w:val="30"/>
          <w:szCs w:val="30"/>
          <w:lang w:val="en-US" w:eastAsia="zh-CN"/>
        </w:rPr>
        <w:t>市退役军人事务局为2019年新增部门。</w:t>
      </w: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118.46</w:t>
      </w:r>
      <w:r>
        <w:rPr>
          <w:rFonts w:hint="eastAsia" w:ascii="仿宋" w:hAnsi="仿宋" w:eastAsia="仿宋"/>
          <w:sz w:val="30"/>
          <w:szCs w:val="30"/>
        </w:rPr>
        <w:t>万元，其中：</w:t>
      </w:r>
    </w:p>
    <w:p>
      <w:pPr>
        <w:numPr>
          <w:ilvl w:val="0"/>
          <w:numId w:val="2"/>
        </w:numPr>
        <w:ind w:firstLine="585"/>
        <w:jc w:val="left"/>
        <w:rPr>
          <w:rFonts w:hint="eastAsia" w:ascii="仿宋" w:hAnsi="仿宋" w:eastAsia="仿宋"/>
          <w:sz w:val="30"/>
          <w:szCs w:val="30"/>
          <w:lang w:val="en-US" w:eastAsia="zh-CN"/>
        </w:rPr>
      </w:pPr>
      <w:r>
        <w:rPr>
          <w:rFonts w:hint="eastAsia" w:ascii="仿宋" w:hAnsi="仿宋" w:eastAsia="仿宋"/>
          <w:sz w:val="30"/>
          <w:szCs w:val="30"/>
        </w:rPr>
        <w:t>工资福利支出</w:t>
      </w:r>
      <w:r>
        <w:rPr>
          <w:rFonts w:hint="eastAsia" w:ascii="仿宋" w:hAnsi="仿宋" w:eastAsia="仿宋"/>
          <w:sz w:val="30"/>
          <w:szCs w:val="30"/>
          <w:lang w:val="en-US" w:eastAsia="zh-CN"/>
        </w:rPr>
        <w:t>38.51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pPr>
        <w:numPr>
          <w:ilvl w:val="0"/>
          <w:numId w:val="0"/>
        </w:numPr>
        <w:ind w:firstLine="600" w:firstLineChars="200"/>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77.52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2.43</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w:t>
      </w:r>
      <w:r>
        <w:rPr>
          <w:rFonts w:hint="eastAsia" w:ascii="仿宋" w:hAnsi="仿宋" w:eastAsia="仿宋"/>
          <w:sz w:val="30"/>
          <w:szCs w:val="30"/>
          <w:lang w:val="en-US" w:eastAsia="zh-CN"/>
        </w:rPr>
        <w:t>主要原因是：市退役军人事务局为2019年新增部门。</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 xml:space="preserve"> </w:t>
      </w:r>
      <w:r>
        <w:rPr>
          <w:rFonts w:hint="eastAsia" w:ascii="仿宋" w:hAnsi="仿宋" w:eastAsia="仿宋"/>
          <w:sz w:val="30"/>
          <w:szCs w:val="30"/>
        </w:rPr>
        <w:t>万元，决算数为</w:t>
      </w:r>
      <w:r>
        <w:rPr>
          <w:rFonts w:hint="eastAsia" w:ascii="仿宋" w:hAnsi="仿宋" w:eastAsia="仿宋"/>
          <w:sz w:val="30"/>
          <w:szCs w:val="30"/>
          <w:lang w:val="en-US" w:eastAsia="zh-CN"/>
        </w:rPr>
        <w:t>0.11</w:t>
      </w:r>
      <w:r>
        <w:rPr>
          <w:rFonts w:hint="eastAsia" w:ascii="仿宋" w:hAnsi="仿宋" w:eastAsia="仿宋"/>
          <w:sz w:val="30"/>
          <w:szCs w:val="30"/>
        </w:rPr>
        <w:t>万元，决算数</w:t>
      </w:r>
      <w:r>
        <w:rPr>
          <w:rFonts w:hint="eastAsia" w:ascii="仿宋" w:hAnsi="仿宋" w:eastAsia="仿宋"/>
          <w:sz w:val="30"/>
          <w:szCs w:val="30"/>
          <w:lang w:val="en-US" w:eastAsia="zh-CN"/>
        </w:rPr>
        <w:t>无增长变动</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。决算数较年初预算数</w:t>
      </w:r>
      <w:r>
        <w:rPr>
          <w:rFonts w:hint="eastAsia" w:ascii="仿宋" w:hAnsi="仿宋" w:eastAsia="仿宋"/>
          <w:sz w:val="30"/>
          <w:szCs w:val="30"/>
          <w:lang w:val="en-US" w:eastAsia="zh-CN"/>
        </w:rPr>
        <w:t>无</w:t>
      </w:r>
      <w:r>
        <w:rPr>
          <w:rFonts w:hint="eastAsia" w:ascii="仿宋" w:hAnsi="仿宋" w:eastAsia="仿宋"/>
          <w:sz w:val="30"/>
          <w:szCs w:val="30"/>
        </w:rPr>
        <w:t>增加（减少）的主要原因是：</w:t>
      </w:r>
      <w:r>
        <w:rPr>
          <w:rFonts w:hint="eastAsia" w:ascii="仿宋" w:hAnsi="仿宋" w:eastAsia="仿宋"/>
          <w:sz w:val="30"/>
          <w:szCs w:val="30"/>
          <w:lang w:val="en-US" w:eastAsia="zh-CN"/>
        </w:rPr>
        <w:t>市退役军人事务局为2019年新增部门</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0.11</w:t>
      </w:r>
      <w:r>
        <w:rPr>
          <w:rFonts w:hint="eastAsia" w:ascii="仿宋" w:hAnsi="仿宋" w:eastAsia="仿宋"/>
          <w:sz w:val="30"/>
          <w:szCs w:val="30"/>
        </w:rPr>
        <w:t>万元，决算数较201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。决算数较年初预算数</w:t>
      </w:r>
      <w:r>
        <w:rPr>
          <w:rFonts w:hint="eastAsia" w:ascii="仿宋" w:hAnsi="仿宋" w:eastAsia="仿宋"/>
          <w:sz w:val="30"/>
          <w:szCs w:val="30"/>
          <w:lang w:val="en-US" w:eastAsia="zh-CN"/>
        </w:rPr>
        <w:t>无</w:t>
      </w:r>
      <w:r>
        <w:rPr>
          <w:rFonts w:hint="eastAsia" w:ascii="仿宋" w:hAnsi="仿宋" w:eastAsia="仿宋"/>
          <w:sz w:val="30"/>
          <w:szCs w:val="30"/>
        </w:rPr>
        <w:t>增加（减少）的主要原因是：</w:t>
      </w:r>
      <w:r>
        <w:rPr>
          <w:rFonts w:hint="eastAsia" w:ascii="仿宋" w:hAnsi="仿宋" w:eastAsia="仿宋"/>
          <w:sz w:val="30"/>
          <w:szCs w:val="30"/>
          <w:lang w:val="en-US" w:eastAsia="zh-CN"/>
        </w:rPr>
        <w:t>市退役军人事务局为2019年新增部门</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。决算数较年初预算数</w:t>
      </w:r>
      <w:r>
        <w:rPr>
          <w:rFonts w:hint="eastAsia" w:ascii="仿宋" w:hAnsi="仿宋" w:eastAsia="仿宋"/>
          <w:sz w:val="30"/>
          <w:szCs w:val="30"/>
          <w:lang w:val="en-US" w:eastAsia="zh-CN"/>
        </w:rPr>
        <w:t>无</w:t>
      </w:r>
      <w:r>
        <w:rPr>
          <w:rFonts w:hint="eastAsia" w:ascii="仿宋" w:hAnsi="仿宋" w:eastAsia="仿宋"/>
          <w:sz w:val="30"/>
          <w:szCs w:val="30"/>
        </w:rPr>
        <w:t>增加（减少）的主要原因是：</w:t>
      </w:r>
      <w:r>
        <w:rPr>
          <w:rFonts w:hint="eastAsia" w:ascii="仿宋" w:hAnsi="仿宋" w:eastAsia="仿宋"/>
          <w:sz w:val="30"/>
          <w:szCs w:val="30"/>
          <w:lang w:val="en-US" w:eastAsia="zh-CN"/>
        </w:rPr>
        <w:t>市退役军人事务局为2019年新增部门</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val="en-US" w:eastAsia="zh-CN"/>
        </w:rPr>
        <w:t>无增减变动</w:t>
      </w:r>
      <w:r>
        <w:rPr>
          <w:rFonts w:hint="eastAsia" w:ascii="仿宋" w:hAnsi="仿宋" w:eastAsia="仿宋"/>
          <w:sz w:val="30"/>
          <w:szCs w:val="30"/>
        </w:rPr>
        <w:t>。决算数较年初预算数</w:t>
      </w:r>
      <w:r>
        <w:rPr>
          <w:rFonts w:hint="eastAsia" w:ascii="仿宋" w:hAnsi="仿宋" w:eastAsia="仿宋"/>
          <w:sz w:val="30"/>
          <w:szCs w:val="30"/>
          <w:lang w:val="en-US" w:eastAsia="zh-CN"/>
        </w:rPr>
        <w:t>无</w:t>
      </w:r>
      <w:r>
        <w:rPr>
          <w:rFonts w:hint="eastAsia" w:ascii="仿宋" w:hAnsi="仿宋" w:eastAsia="仿宋"/>
          <w:sz w:val="30"/>
          <w:szCs w:val="30"/>
        </w:rPr>
        <w:t>增加（减少）的主要原因是：</w:t>
      </w:r>
      <w:r>
        <w:rPr>
          <w:rFonts w:hint="eastAsia" w:ascii="仿宋" w:hAnsi="仿宋" w:eastAsia="仿宋"/>
          <w:sz w:val="30"/>
          <w:szCs w:val="30"/>
          <w:lang w:val="en-US" w:eastAsia="zh-CN"/>
        </w:rPr>
        <w:t>市退役军人事务局为2019年新增部门</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34.96</w:t>
      </w:r>
      <w:r>
        <w:rPr>
          <w:rFonts w:hint="eastAsia" w:ascii="仿宋" w:hAnsi="仿宋" w:eastAsia="仿宋"/>
          <w:sz w:val="30"/>
          <w:szCs w:val="30"/>
        </w:rPr>
        <w:t>万元（与部门决算中行政单位和参照公务员法管理事业单位一般公共预算财政拨款基本支出中公用经费之和保持一致），</w:t>
      </w:r>
      <w:r>
        <w:rPr>
          <w:rFonts w:hint="eastAsia" w:ascii="仿宋" w:hAnsi="仿宋" w:eastAsia="仿宋"/>
          <w:sz w:val="30"/>
          <w:szCs w:val="30"/>
          <w:lang w:val="en-US" w:eastAsia="zh-CN"/>
        </w:rPr>
        <w:t>无增减变动</w:t>
      </w:r>
      <w:r>
        <w:rPr>
          <w:rFonts w:hint="eastAsia" w:ascii="仿宋" w:hAnsi="仿宋" w:eastAsia="仿宋"/>
          <w:sz w:val="30"/>
          <w:szCs w:val="30"/>
        </w:rPr>
        <w:t>，主要原因</w:t>
      </w:r>
      <w:r>
        <w:rPr>
          <w:rFonts w:hint="eastAsia" w:ascii="仿宋" w:hAnsi="仿宋" w:eastAsia="仿宋"/>
          <w:sz w:val="30"/>
          <w:szCs w:val="30"/>
          <w:lang w:val="en-US" w:eastAsia="zh-CN"/>
        </w:rPr>
        <w:t>是：市退役军人事务局为2019年新增部门。</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4"/>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24.65</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24.65</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年度一般公共预算项目支出全面开展绩效自评，其中，一级项目</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个，共涉及资金</w:t>
      </w:r>
      <w:r>
        <w:rPr>
          <w:rFonts w:hint="eastAsia" w:ascii="仿宋" w:hAnsi="仿宋" w:eastAsia="仿宋" w:cs="仿宋_GB2312"/>
          <w:kern w:val="0"/>
          <w:sz w:val="30"/>
          <w:szCs w:val="30"/>
          <w:lang w:val="en-US" w:eastAsia="zh-CN"/>
        </w:rPr>
        <w:t>433.4</w:t>
      </w:r>
      <w:r>
        <w:rPr>
          <w:rFonts w:hint="eastAsia" w:ascii="仿宋" w:hAnsi="仿宋" w:eastAsia="仿宋" w:cs="仿宋_GB2312"/>
          <w:kern w:val="0"/>
          <w:sz w:val="30"/>
          <w:szCs w:val="30"/>
        </w:rPr>
        <w:t>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w:t>
      </w:r>
    </w:p>
    <w:p>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组织对“</w:t>
      </w: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w:t>
      </w:r>
      <w:r>
        <w:rPr>
          <w:rFonts w:hint="eastAsia" w:ascii="仿宋" w:hAnsi="仿宋" w:eastAsia="仿宋" w:cs="仿宋_GB2312"/>
          <w:kern w:val="0"/>
          <w:sz w:val="30"/>
          <w:szCs w:val="30"/>
          <w:lang w:val="en-US" w:eastAsia="zh-CN"/>
        </w:rPr>
        <w:t>退役士兵安之期间生活费及社保医保费</w:t>
      </w:r>
      <w:r>
        <w:rPr>
          <w:rFonts w:hint="eastAsia" w:ascii="仿宋" w:hAnsi="仿宋" w:eastAsia="仿宋" w:cs="仿宋_GB2312"/>
          <w:kern w:val="0"/>
          <w:sz w:val="30"/>
          <w:szCs w:val="30"/>
        </w:rPr>
        <w:t>”等</w:t>
      </w:r>
      <w:r>
        <w:rPr>
          <w:rFonts w:hint="eastAsia" w:ascii="仿宋" w:hAnsi="仿宋" w:eastAsia="仿宋" w:cs="仿宋_GB2312"/>
          <w:kern w:val="0"/>
          <w:sz w:val="30"/>
          <w:szCs w:val="30"/>
          <w:lang w:val="en-US" w:eastAsia="zh-CN"/>
        </w:rPr>
        <w:t>8</w:t>
      </w:r>
      <w:r>
        <w:rPr>
          <w:rFonts w:hint="eastAsia" w:ascii="仿宋" w:hAnsi="仿宋" w:eastAsia="仿宋" w:cs="仿宋_GB2312"/>
          <w:kern w:val="0"/>
          <w:sz w:val="30"/>
          <w:szCs w:val="30"/>
        </w:rPr>
        <w:t>个项目</w:t>
      </w:r>
      <w:r>
        <w:rPr>
          <w:rFonts w:hint="eastAsia" w:ascii="仿宋" w:hAnsi="仿宋" w:eastAsia="仿宋" w:cs="仿宋_GB2312"/>
          <w:kern w:val="0"/>
          <w:sz w:val="30"/>
          <w:szCs w:val="30"/>
          <w:lang w:val="en-US" w:eastAsia="zh-CN"/>
        </w:rPr>
        <w:t>开展</w:t>
      </w:r>
      <w:r>
        <w:rPr>
          <w:rFonts w:hint="eastAsia" w:ascii="仿宋" w:hAnsi="仿宋" w:eastAsia="仿宋" w:cs="仿宋_GB2312"/>
          <w:kern w:val="0"/>
          <w:sz w:val="30"/>
          <w:szCs w:val="30"/>
        </w:rPr>
        <w:t>了</w:t>
      </w:r>
      <w:r>
        <w:rPr>
          <w:rFonts w:hint="eastAsia" w:ascii="仿宋" w:hAnsi="仿宋" w:eastAsia="仿宋" w:cs="仿宋_GB2312"/>
          <w:kern w:val="0"/>
          <w:sz w:val="30"/>
          <w:szCs w:val="30"/>
          <w:lang w:val="en-US" w:eastAsia="zh-CN"/>
        </w:rPr>
        <w:t>部门</w:t>
      </w:r>
      <w:r>
        <w:rPr>
          <w:rFonts w:hint="eastAsia" w:ascii="仿宋" w:hAnsi="仿宋" w:eastAsia="仿宋" w:cs="仿宋_GB2312"/>
          <w:kern w:val="0"/>
          <w:sz w:val="30"/>
          <w:szCs w:val="30"/>
        </w:rPr>
        <w:t>评价，涉及一般公共预算支出</w:t>
      </w:r>
      <w:r>
        <w:rPr>
          <w:rFonts w:hint="eastAsia" w:ascii="仿宋" w:hAnsi="仿宋" w:eastAsia="仿宋" w:cs="仿宋_GB2312"/>
          <w:kern w:val="0"/>
          <w:sz w:val="30"/>
          <w:szCs w:val="30"/>
          <w:lang w:val="en-US" w:eastAsia="zh-CN"/>
        </w:rPr>
        <w:t>433.4</w:t>
      </w:r>
      <w:r>
        <w:rPr>
          <w:rFonts w:hint="eastAsia" w:ascii="仿宋" w:hAnsi="仿宋" w:eastAsia="仿宋" w:cs="仿宋_GB2312"/>
          <w:kern w:val="0"/>
          <w:sz w:val="30"/>
          <w:szCs w:val="30"/>
        </w:rPr>
        <w:t>万元。从评价情况来看，</w:t>
      </w:r>
      <w:r>
        <w:rPr>
          <w:rFonts w:hint="eastAsia" w:ascii="仿宋" w:hAnsi="仿宋" w:eastAsia="仿宋" w:cs="仿宋_GB2312"/>
          <w:kern w:val="0"/>
          <w:sz w:val="30"/>
          <w:szCs w:val="30"/>
          <w:lang w:val="en-US" w:eastAsia="zh-CN"/>
        </w:rPr>
        <w:t>完成情况良好，满意度较高。</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（二）部门决算中项目绩效自评结果（选择1至2个项目）。</w:t>
      </w:r>
    </w:p>
    <w:p>
      <w:pPr>
        <w:autoSpaceDE w:val="0"/>
        <w:autoSpaceDN w:val="0"/>
        <w:adjustRightInd w:val="0"/>
        <w:spacing w:line="360" w:lineRule="auto"/>
        <w:ind w:firstLine="585"/>
        <w:jc w:val="left"/>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及</w:t>
      </w:r>
      <w:r>
        <w:rPr>
          <w:rFonts w:hint="eastAsia" w:ascii="仿宋" w:hAnsi="仿宋" w:eastAsia="仿宋" w:cs="仿宋_GB2312"/>
          <w:kern w:val="0"/>
          <w:sz w:val="30"/>
          <w:szCs w:val="30"/>
          <w:lang w:val="en-US" w:eastAsia="zh-CN"/>
        </w:rPr>
        <w:t>退役士兵安之期间生活费及社保医保费</w:t>
      </w:r>
      <w:r>
        <w:rPr>
          <w:rFonts w:hint="eastAsia" w:ascii="仿宋" w:hAnsi="仿宋" w:eastAsia="仿宋" w:cs="仿宋_GB2312"/>
          <w:kern w:val="0"/>
          <w:sz w:val="30"/>
          <w:szCs w:val="30"/>
        </w:rPr>
        <w:t>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val="en-US" w:eastAsia="zh-CN"/>
        </w:rPr>
        <w:t>春节及“八一”走访慰问</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90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111.11</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val="en-US" w:eastAsia="zh-CN"/>
        </w:rPr>
        <w:t>完成15个部队走访慰问</w:t>
      </w:r>
      <w:r>
        <w:rPr>
          <w:rFonts w:hint="eastAsia" w:ascii="仿宋" w:hAnsi="仿宋" w:eastAsia="仿宋" w:cs="仿宋_GB2312"/>
          <w:kern w:val="0"/>
          <w:sz w:val="30"/>
          <w:szCs w:val="30"/>
        </w:rPr>
        <w:t>；二是</w:t>
      </w:r>
      <w:r>
        <w:rPr>
          <w:rFonts w:hint="eastAsia" w:ascii="仿宋" w:hAnsi="仿宋" w:eastAsia="仿宋" w:cs="仿宋_GB2312"/>
          <w:kern w:val="0"/>
          <w:sz w:val="30"/>
          <w:szCs w:val="30"/>
          <w:lang w:val="en-US" w:eastAsia="zh-CN"/>
        </w:rPr>
        <w:t>完成走访慰问困难优抚对象数量160人</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val="en-US" w:eastAsia="zh-CN"/>
        </w:rPr>
        <w:t>无相关问题，完成情况良好。</w:t>
      </w:r>
    </w:p>
    <w:p>
      <w:pPr>
        <w:autoSpaceDE w:val="0"/>
        <w:autoSpaceDN w:val="0"/>
        <w:adjustRightInd w:val="0"/>
        <w:spacing w:line="360" w:lineRule="auto"/>
        <w:ind w:firstLine="600" w:firstLineChars="200"/>
        <w:jc w:val="left"/>
        <w:rPr>
          <w:rFonts w:hint="eastAsia" w:ascii="仿宋" w:hAnsi="仿宋" w:eastAsia="仿宋" w:cs="仿宋_GB2312"/>
          <w:kern w:val="0"/>
          <w:sz w:val="30"/>
          <w:szCs w:val="30"/>
        </w:rPr>
      </w:pPr>
      <w:r>
        <w:rPr>
          <w:rFonts w:hint="eastAsia" w:ascii="仿宋" w:hAnsi="仿宋" w:eastAsia="仿宋" w:cs="仿宋_GB2312"/>
          <w:kern w:val="0"/>
          <w:sz w:val="30"/>
          <w:szCs w:val="30"/>
          <w:lang w:val="en-US" w:eastAsia="zh-CN"/>
        </w:rPr>
        <w:t>退役士兵安之期间生活费及社保医保费</w:t>
      </w:r>
      <w:r>
        <w:rPr>
          <w:rFonts w:hint="eastAsia" w:ascii="仿宋" w:hAnsi="仿宋" w:eastAsia="仿宋" w:cs="仿宋_GB2312"/>
          <w:kern w:val="0"/>
          <w:sz w:val="30"/>
          <w:szCs w:val="30"/>
        </w:rPr>
        <w:t>项目绩效自评综述：根据年初设定的绩效目标，</w:t>
      </w:r>
      <w:r>
        <w:rPr>
          <w:rFonts w:hint="eastAsia" w:ascii="仿宋" w:hAnsi="仿宋" w:eastAsia="仿宋" w:cs="仿宋_GB2312"/>
          <w:kern w:val="0"/>
          <w:sz w:val="30"/>
          <w:szCs w:val="30"/>
          <w:lang w:val="en-US" w:eastAsia="zh-CN"/>
        </w:rPr>
        <w:t>退役士兵安之期间生活费及社保医保费</w:t>
      </w:r>
      <w:r>
        <w:rPr>
          <w:rFonts w:hint="eastAsia" w:ascii="仿宋" w:hAnsi="仿宋" w:eastAsia="仿宋" w:cs="仿宋_GB2312"/>
          <w:kern w:val="0"/>
          <w:sz w:val="30"/>
          <w:szCs w:val="30"/>
        </w:rPr>
        <w:t>项目绩效自评得分为</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分。项目全年预算数为</w:t>
      </w:r>
      <w:r>
        <w:rPr>
          <w:rFonts w:hint="eastAsia" w:ascii="仿宋" w:hAnsi="仿宋" w:eastAsia="仿宋" w:cs="仿宋_GB2312"/>
          <w:kern w:val="0"/>
          <w:sz w:val="30"/>
          <w:szCs w:val="30"/>
          <w:lang w:val="en-US" w:eastAsia="zh-CN"/>
        </w:rPr>
        <w:t>20</w:t>
      </w:r>
      <w:r>
        <w:rPr>
          <w:rFonts w:hint="eastAsia" w:ascii="仿宋" w:hAnsi="仿宋" w:eastAsia="仿宋" w:cs="仿宋_GB2312"/>
          <w:kern w:val="0"/>
          <w:sz w:val="30"/>
          <w:szCs w:val="30"/>
        </w:rPr>
        <w:t>万元，执行数为</w:t>
      </w:r>
      <w:r>
        <w:rPr>
          <w:rFonts w:hint="eastAsia" w:ascii="仿宋" w:hAnsi="仿宋" w:eastAsia="仿宋" w:cs="仿宋_GB2312"/>
          <w:kern w:val="0"/>
          <w:sz w:val="30"/>
          <w:szCs w:val="30"/>
          <w:lang w:val="en-US" w:eastAsia="zh-CN"/>
        </w:rPr>
        <w:t>20.86</w:t>
      </w:r>
      <w:r>
        <w:rPr>
          <w:rFonts w:hint="eastAsia" w:ascii="仿宋" w:hAnsi="仿宋" w:eastAsia="仿宋" w:cs="仿宋_GB2312"/>
          <w:kern w:val="0"/>
          <w:sz w:val="30"/>
          <w:szCs w:val="30"/>
        </w:rPr>
        <w:t>万元，完成预算的</w:t>
      </w:r>
      <w:r>
        <w:rPr>
          <w:rFonts w:hint="eastAsia" w:ascii="仿宋" w:hAnsi="仿宋" w:eastAsia="仿宋" w:cs="仿宋_GB2312"/>
          <w:kern w:val="0"/>
          <w:sz w:val="30"/>
          <w:szCs w:val="30"/>
          <w:lang w:val="en-US" w:eastAsia="zh-CN"/>
        </w:rPr>
        <w:t>104.3</w:t>
      </w:r>
      <w:r>
        <w:rPr>
          <w:rFonts w:hint="eastAsia" w:ascii="仿宋" w:hAnsi="仿宋" w:eastAsia="仿宋" w:cs="仿宋_GB2312"/>
          <w:kern w:val="0"/>
          <w:sz w:val="30"/>
          <w:szCs w:val="30"/>
        </w:rPr>
        <w:t>%。主要产出和效果：一是</w:t>
      </w:r>
      <w:r>
        <w:rPr>
          <w:rFonts w:hint="eastAsia" w:ascii="仿宋" w:hAnsi="仿宋" w:eastAsia="仿宋" w:cs="仿宋_GB2312"/>
          <w:kern w:val="0"/>
          <w:sz w:val="30"/>
          <w:szCs w:val="30"/>
          <w:lang w:val="en-US" w:eastAsia="zh-CN"/>
        </w:rPr>
        <w:t>完成33名符合条件退役士兵待安置期间生活费发放</w:t>
      </w:r>
      <w:r>
        <w:rPr>
          <w:rFonts w:hint="eastAsia" w:ascii="仿宋" w:hAnsi="仿宋" w:eastAsia="仿宋" w:cs="仿宋_GB2312"/>
          <w:kern w:val="0"/>
          <w:sz w:val="30"/>
          <w:szCs w:val="30"/>
        </w:rPr>
        <w:t>。发现的问题及原因：</w:t>
      </w:r>
      <w:r>
        <w:rPr>
          <w:rFonts w:hint="eastAsia" w:ascii="仿宋" w:hAnsi="仿宋" w:eastAsia="仿宋" w:cs="仿宋_GB2312"/>
          <w:kern w:val="0"/>
          <w:sz w:val="30"/>
          <w:szCs w:val="30"/>
          <w:lang w:val="en-US" w:eastAsia="zh-CN"/>
        </w:rPr>
        <w:t>无相关问题，完成情况良好。</w:t>
      </w:r>
    </w:p>
    <w:p>
      <w:pPr>
        <w:rPr>
          <w:rFonts w:hint="eastAsia"/>
        </w:rPr>
      </w:pPr>
    </w:p>
    <w:p>
      <w:pPr>
        <w:rPr>
          <w:rFonts w:hint="eastAsia" w:eastAsia="宋体"/>
          <w:lang w:eastAsia="zh-CN"/>
        </w:rPr>
      </w:pPr>
      <w:r>
        <w:rPr>
          <w:rFonts w:hint="eastAsia" w:eastAsia="宋体"/>
          <w:lang w:eastAsia="zh-CN"/>
        </w:rPr>
        <w:drawing>
          <wp:inline distT="0" distB="0" distL="114300" distR="114300">
            <wp:extent cx="5271770" cy="4329430"/>
            <wp:effectExtent l="0" t="0" r="5080" b="13970"/>
            <wp:docPr id="25" name="图片 25" descr="8260680988f5487523c43a56d89cd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8260680988f5487523c43a56d89cda7"/>
                    <pic:cNvPicPr>
                      <a:picLocks noChangeAspect="1"/>
                    </pic:cNvPicPr>
                  </pic:nvPicPr>
                  <pic:blipFill>
                    <a:blip r:embed="rId13"/>
                    <a:stretch>
                      <a:fillRect/>
                    </a:stretch>
                  </pic:blipFill>
                  <pic:spPr>
                    <a:xfrm>
                      <a:off x="0" y="0"/>
                      <a:ext cx="5271770" cy="4329430"/>
                    </a:xfrm>
                    <a:prstGeom prst="rect">
                      <a:avLst/>
                    </a:prstGeom>
                  </pic:spPr>
                </pic:pic>
              </a:graphicData>
            </a:graphic>
          </wp:inline>
        </w:drawing>
      </w:r>
    </w:p>
    <w:p>
      <w:pPr>
        <w:rPr>
          <w:rFonts w:hint="eastAsia"/>
        </w:rPr>
      </w:pPr>
    </w:p>
    <w:p>
      <w:pPr>
        <w:rPr>
          <w:rFonts w:hint="eastAsia"/>
        </w:rPr>
      </w:pPr>
    </w:p>
    <w:p>
      <w:pPr>
        <w:rPr>
          <w:rFonts w:hint="eastAsia"/>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 w:hAnsi="仿宋" w:eastAsia="仿宋"/>
          <w:sz w:val="30"/>
          <w:szCs w:val="30"/>
        </w:rPr>
      </w:pPr>
    </w:p>
    <w:p>
      <w:pPr>
        <w:widowControl/>
        <w:spacing w:line="580" w:lineRule="exact"/>
        <w:ind w:firstLine="602" w:firstLineChars="200"/>
        <w:jc w:val="left"/>
        <w:rPr>
          <w:rFonts w:hint="eastAsia" w:ascii="仿宋" w:hAnsi="仿宋" w:eastAsia="仿宋"/>
          <w:b/>
          <w:bCs/>
          <w:kern w:val="0"/>
          <w:sz w:val="30"/>
          <w:szCs w:val="30"/>
        </w:rPr>
      </w:pPr>
      <w:r>
        <w:rPr>
          <w:rFonts w:hint="eastAsia" w:ascii="仿宋" w:hAnsi="仿宋" w:eastAsia="仿宋"/>
          <w:b/>
          <w:bCs/>
          <w:kern w:val="0"/>
          <w:sz w:val="30"/>
          <w:szCs w:val="30"/>
        </w:rPr>
        <w:t>一、收入科目</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（一）财政拨款：指市级财政当年拨付的资金。</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（二）上年结转和结余：填列2019年全部结转和结余的资金数，包括当年结转结余资金和历年滚存结转结余资金。</w:t>
      </w:r>
    </w:p>
    <w:p>
      <w:pPr>
        <w:widowControl/>
        <w:spacing w:line="580" w:lineRule="exact"/>
        <w:ind w:firstLine="602" w:firstLineChars="200"/>
        <w:jc w:val="left"/>
        <w:rPr>
          <w:rFonts w:hint="eastAsia" w:ascii="仿宋" w:hAnsi="仿宋" w:eastAsia="仿宋"/>
          <w:b/>
          <w:bCs/>
          <w:kern w:val="0"/>
          <w:sz w:val="30"/>
          <w:szCs w:val="30"/>
        </w:rPr>
      </w:pPr>
      <w:r>
        <w:rPr>
          <w:rFonts w:hint="eastAsia" w:ascii="仿宋" w:hAnsi="仿宋" w:eastAsia="仿宋"/>
          <w:b/>
          <w:bCs/>
          <w:kern w:val="0"/>
          <w:sz w:val="30"/>
          <w:szCs w:val="30"/>
        </w:rPr>
        <w:t>二、支出科目</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一）社会保障和就业支出（类）民政管理事务（款）其他民政管理事务支出（项）：反应民政部门接待来访、法制建设、政策宣传方面的支出以及开展优抚安置、救灾减灾、社会救助、社会福利、社会事务、信息化建设等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（二）社会保障和就业支出（类）行政事业单位养老支出（款）行政单位离退休（项）：反映行政单位（包括实行公务员管理的事业单位）开支的离退休经费。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（三）社会保障和就业支出（类）行政事业单位养老支出（款）事业单位离退休（项）：反映事业单位开支的离退休经费。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（四）社会保障和就业支出（类）行政事业单位养老支出（款）机关事业单位基本养老保险缴费支出（项）：反映机关事业单位实施养老保险制度由单位缴纳的基本养老保险费支出。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（五）社会保障和就业支出（类）抚恤（款）其他优抚支出（项）：反映春节及八一走访慰问项目支出。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（六）社会保障和就业支出（类）退役安置（款） 退役士兵安置（项）：对符合条件的退役士兵、转业士官的安置支出。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（七）社会保障和就业支出（类）退役安置（款） 军队移交政府离退休干部管理机构（项）：反应民政部门管理的军休所的人员经费、公用经费以及管理机构用法建设经费等支出。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（八）社会保障和就业支出（类）退役安置（款） 军队转业干部安置（项）：反映军转干部安置、人员经费、自主择业退役金等方面的支出。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（九）社会保障和就业支出（类）退役安置（款） 其他退役安置支出（项）：反映上述项目以外的用于退役安置方面的支出。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（十）社会保障和就业支出（类）退役军人管理事务（款） 行政运行（项）：反映行政单位的基本支出。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（十一）社会保障和就业支出（类）退役军人管理事务（款） 拥军优属（项）：反映拥军优属活动的支出。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（十二）社会保障和就业支出（类）退役军人管理事务（款） 部队供应（项）：反映军供站等用于保障军队运输和饮食供应的支出。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（十三）社会保障和就业支出（类）退役军人管理事务（款） 其他退役军人事务管理支出（项）：反映除上述项目以外的其他用于退役军人事务管理方面的支出。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（十四）社会保障和就业支出（类）其他社会保障和就业支出（款）其他社会保障和就业支出（项）：反映其他用于其他社会保障和就业支出方面的支出。</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（十五）卫生健康支出（类）行政事业单位医疗（款）行政单位医疗（项）：反映财政部门安排的行政单位（包括实行公务员管理的事业单位）基本医疗保险缴费经费。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（十六）卫生健康支出（类）行政事业单位医疗（款）事业单位医疗（项）：反映财政部门安排的事业单位基本医疗保险缴费经费。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（十七）卫生健康支出（类）行政事业单位医疗（款）公务员医疗补助（项）：反映财政部门安排的公务员医疗补助经费。</w:t>
      </w:r>
    </w:p>
    <w:p>
      <w:pPr>
        <w:widowControl/>
        <w:spacing w:line="580" w:lineRule="exact"/>
        <w:ind w:firstLine="600" w:firstLineChars="200"/>
        <w:jc w:val="left"/>
        <w:rPr>
          <w:rFonts w:hint="eastAsia" w:ascii="仿宋" w:hAnsi="仿宋" w:eastAsia="仿宋"/>
          <w:kern w:val="0"/>
          <w:sz w:val="30"/>
          <w:szCs w:val="30"/>
        </w:rPr>
      </w:pPr>
      <w:r>
        <w:rPr>
          <w:rFonts w:hint="eastAsia" w:ascii="仿宋" w:hAnsi="仿宋" w:eastAsia="仿宋"/>
          <w:kern w:val="0"/>
          <w:sz w:val="30"/>
          <w:szCs w:val="30"/>
        </w:rPr>
        <w:t>（十八）卫生健康支出（类）行政事业单位医疗（款）其他行政事业单位医疗支出（项）：反映除上述项目以外的其他用于行政事业单位医疗方面的支出。</w:t>
      </w:r>
    </w:p>
    <w:p>
      <w:pPr>
        <w:ind w:firstLine="600" w:firstLineChars="200"/>
      </w:pPr>
      <w:r>
        <w:rPr>
          <w:rFonts w:hint="eastAsia" w:ascii="仿宋" w:hAnsi="仿宋" w:eastAsia="仿宋"/>
          <w:kern w:val="0"/>
          <w:sz w:val="30"/>
          <w:szCs w:val="30"/>
        </w:rPr>
        <w:t xml:space="preserve">（十九）住房保障支出（类） 住房改革支出（款）住房公积金（项）：住房公积金的支出。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74C65B"/>
    <w:multiLevelType w:val="singleLevel"/>
    <w:tmpl w:val="9E74C65B"/>
    <w:lvl w:ilvl="0" w:tentative="0">
      <w:start w:val="2"/>
      <w:numFmt w:val="chineseCounting"/>
      <w:suff w:val="space"/>
      <w:lvlText w:val="第%1部分"/>
      <w:lvlJc w:val="left"/>
      <w:rPr>
        <w:rFonts w:hint="eastAsia"/>
      </w:rPr>
    </w:lvl>
  </w:abstractNum>
  <w:abstractNum w:abstractNumId="1">
    <w:nsid w:val="A3517CBB"/>
    <w:multiLevelType w:val="singleLevel"/>
    <w:tmpl w:val="A3517CB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7B0089"/>
    <w:rsid w:val="1B0A5729"/>
    <w:rsid w:val="352A495A"/>
    <w:rsid w:val="6211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DELL</cp:lastModifiedBy>
  <dcterms:modified xsi:type="dcterms:W3CDTF">2020-10-09T02:13:39Z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