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景德镇市公安局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val="en-US" w:eastAsia="zh-CN"/>
        </w:rPr>
        <w:t>景德镇市公安局</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val="en-US" w:eastAsia="zh-CN"/>
        </w:rPr>
        <w:t>景德镇市公安局</w:t>
      </w:r>
      <w:r>
        <w:rPr>
          <w:rFonts w:hint="eastAsia" w:ascii="宋体" w:hAnsi="宋体"/>
          <w:b/>
          <w:sz w:val="32"/>
          <w:szCs w:val="30"/>
        </w:rPr>
        <w:t>概况</w:t>
      </w:r>
    </w:p>
    <w:p>
      <w:pPr>
        <w:ind w:firstLine="630"/>
        <w:jc w:val="center"/>
        <w:rPr>
          <w:rFonts w:hint="eastAsia"/>
          <w:sz w:val="32"/>
          <w:szCs w:val="32"/>
        </w:rPr>
      </w:pPr>
    </w:p>
    <w:p>
      <w:pPr>
        <w:numPr>
          <w:ilvl w:val="0"/>
          <w:numId w:val="1"/>
        </w:numPr>
        <w:ind w:firstLine="630"/>
        <w:jc w:val="left"/>
        <w:rPr>
          <w:rFonts w:hint="eastAsia" w:ascii="黑体" w:hAnsi="黑体" w:eastAsia="黑体"/>
          <w:sz w:val="30"/>
          <w:szCs w:val="30"/>
        </w:rPr>
      </w:pPr>
      <w:r>
        <w:rPr>
          <w:rFonts w:hint="eastAsia" w:ascii="黑体" w:hAnsi="黑体" w:eastAsia="黑体"/>
          <w:sz w:val="30"/>
          <w:szCs w:val="30"/>
        </w:rPr>
        <w:t>部门主要职能</w:t>
      </w:r>
    </w:p>
    <w:p>
      <w:pPr>
        <w:spacing w:after="156" w:afterLines="50" w:line="520" w:lineRule="exact"/>
        <w:ind w:firstLine="640" w:firstLineChars="200"/>
        <w:rPr>
          <w:rFonts w:hint="eastAsia" w:ascii="仿宋" w:hAnsi="仿宋" w:eastAsia="仿宋"/>
          <w:sz w:val="30"/>
          <w:szCs w:val="30"/>
        </w:rPr>
      </w:pPr>
      <w:r>
        <w:rPr>
          <w:rFonts w:hint="eastAsia" w:ascii="仿宋" w:hAnsi="仿宋" w:eastAsia="仿宋"/>
          <w:sz w:val="32"/>
          <w:szCs w:val="32"/>
        </w:rPr>
        <w:t>（一）</w:t>
      </w:r>
      <w:r>
        <w:rPr>
          <w:rFonts w:hint="eastAsia" w:ascii="仿宋" w:hAnsi="仿宋" w:eastAsia="仿宋"/>
          <w:sz w:val="30"/>
          <w:szCs w:val="30"/>
        </w:rPr>
        <w:t>贯彻执行国家的法律、法规和公安工作的路线、方针、政策；研究拟定和落实有关公安工作的规定和实施办法；分析研究全市的社会治安状况，对全市公安工作进行决策、部署、指导、检查和监督；对全市公安机关实施组织领导和指挥。</w:t>
      </w:r>
    </w:p>
    <w:p>
      <w:pPr>
        <w:pStyle w:val="2"/>
        <w:widowControl/>
        <w:autoSpaceDN w:val="0"/>
        <w:spacing w:after="156" w:afterLines="50" w:line="520" w:lineRule="exact"/>
        <w:ind w:firstLine="640" w:firstLineChars="20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（二）</w:t>
      </w:r>
      <w:r>
        <w:rPr>
          <w:rFonts w:hint="eastAsia" w:ascii="仿宋" w:hAnsi="仿宋" w:eastAsia="仿宋" w:cs="Times New Roman"/>
          <w:kern w:val="2"/>
          <w:sz w:val="30"/>
          <w:szCs w:val="30"/>
          <w:lang w:val="en-US" w:eastAsia="zh-CN" w:bidi="ar-SA"/>
        </w:rPr>
        <w:t>掌握影响稳定、危害国内安全和社会治安情况，分析形势，制定对策。</w:t>
      </w:r>
    </w:p>
    <w:p>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（三）</w:t>
      </w:r>
      <w:r>
        <w:rPr>
          <w:rFonts w:hint="eastAsia" w:ascii="仿宋" w:hAnsi="仿宋" w:eastAsia="仿宋" w:cs="Times New Roman"/>
          <w:kern w:val="2"/>
          <w:sz w:val="30"/>
          <w:szCs w:val="30"/>
          <w:lang w:val="en-US" w:eastAsia="zh-CN" w:bidi="ar-SA"/>
        </w:rPr>
        <w:t>组织实施并指导侦查工作，组织、协调处置重大案件、治安事件、治安事故和骚乱。</w:t>
      </w:r>
    </w:p>
    <w:p>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（四）组</w:t>
      </w:r>
      <w:r>
        <w:rPr>
          <w:rFonts w:hint="eastAsia" w:ascii="仿宋" w:hAnsi="仿宋" w:eastAsia="仿宋" w:cs="Times New Roman"/>
          <w:kern w:val="2"/>
          <w:sz w:val="30"/>
          <w:szCs w:val="30"/>
          <w:lang w:val="en-US" w:eastAsia="zh-CN" w:bidi="ar-SA"/>
        </w:rPr>
        <w:t>织实施并指导全市公安机关依法查处危害社会治安秩序行为，依法管理户籍和门牌、流动人口、居民身份证和居民身份证号码、枪支弹药、危险物品和特种行业等工作。</w:t>
      </w:r>
    </w:p>
    <w:p>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（五）</w:t>
      </w:r>
      <w:r>
        <w:rPr>
          <w:rFonts w:hint="eastAsia" w:ascii="仿宋" w:hAnsi="仿宋" w:eastAsia="仿宋" w:cs="Times New Roman"/>
          <w:kern w:val="2"/>
          <w:sz w:val="30"/>
          <w:szCs w:val="30"/>
          <w:lang w:val="en-US" w:eastAsia="zh-CN" w:bidi="ar-SA"/>
        </w:rPr>
        <w:t>组织实施并指导出（入）境和外国人在我市境内居留、旅行的有关管理工作、组织实施并指导全市公安外事工作。</w:t>
      </w:r>
    </w:p>
    <w:p>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六</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组织实施并指导全市公安机关维护道路交通安全、交通秩序以及车辆驾驶员管理工作。</w:t>
      </w:r>
    </w:p>
    <w:p>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七</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指导、监督全市公安机关依法对国家机关、社会团体、企事业单位和重点建设工程的治安保卫工作以及群众性治安组织的治安防范工作；指导机关、企事业单位保卫组织和经济民警、保安队伍的建设。</w:t>
      </w:r>
    </w:p>
    <w:p>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八</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组织实施并指导、监督全市公共信息网络安全监察工作。</w:t>
      </w:r>
    </w:p>
    <w:p>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val="en-US" w:eastAsia="zh-CN"/>
        </w:rPr>
        <w:t>九</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指导、监督全市公安机关依法承担的执行刑罚和监督、考察工作；组织实施并指导、监督看守所、拘留所、强制戒毒所管理工作。</w:t>
      </w:r>
    </w:p>
    <w:p>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（十）</w:t>
      </w:r>
      <w:r>
        <w:rPr>
          <w:rFonts w:hint="eastAsia" w:ascii="仿宋" w:hAnsi="仿宋" w:eastAsia="仿宋" w:cs="Times New Roman"/>
          <w:kern w:val="2"/>
          <w:sz w:val="30"/>
          <w:szCs w:val="30"/>
          <w:lang w:val="en-US" w:eastAsia="zh-CN" w:bidi="ar-SA"/>
        </w:rPr>
        <w:t>组织实施并指导全市公安法制建设；指导、检查、监督公安机关执法活动。</w:t>
      </w:r>
    </w:p>
    <w:p>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（十一）</w:t>
      </w:r>
      <w:r>
        <w:rPr>
          <w:rFonts w:hint="eastAsia" w:ascii="仿宋" w:hAnsi="仿宋" w:eastAsia="仿宋" w:cs="Times New Roman"/>
          <w:kern w:val="2"/>
          <w:sz w:val="30"/>
          <w:szCs w:val="30"/>
          <w:lang w:val="en-US" w:eastAsia="zh-CN" w:bidi="ar-SA"/>
        </w:rPr>
        <w:t>组织实施并指导全市公安机关开展禁毒和缉毒工作以及承办市禁毒领导小组办公室的日常工作。</w:t>
      </w:r>
    </w:p>
    <w:p>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（十</w:t>
      </w:r>
      <w:r>
        <w:rPr>
          <w:rFonts w:hint="eastAsia" w:ascii="仿宋" w:hAnsi="仿宋" w:eastAsia="仿宋" w:cs="仿宋_GB2312"/>
          <w:sz w:val="32"/>
          <w:szCs w:val="32"/>
          <w:lang w:val="en-US" w:eastAsia="zh-CN"/>
        </w:rPr>
        <w:t>二</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组织全市公安科学技术工作，规划公安信息技术、刑事技术和行动技术建设。</w:t>
      </w:r>
    </w:p>
    <w:p>
      <w:pPr>
        <w:pStyle w:val="2"/>
        <w:widowControl/>
        <w:autoSpaceDN w:val="0"/>
        <w:spacing w:after="156" w:afterLines="50" w:line="520" w:lineRule="exact"/>
        <w:ind w:firstLine="640"/>
        <w:rPr>
          <w:rFonts w:hint="eastAsia" w:ascii="仿宋" w:hAnsi="仿宋" w:eastAsia="仿宋" w:cs="仿宋_GB2312"/>
          <w:sz w:val="32"/>
          <w:szCs w:val="32"/>
        </w:rPr>
      </w:pPr>
      <w:r>
        <w:rPr>
          <w:rFonts w:hint="eastAsia" w:ascii="仿宋" w:hAnsi="仿宋" w:eastAsia="仿宋" w:cs="仿宋_GB2312"/>
          <w:sz w:val="32"/>
          <w:szCs w:val="32"/>
        </w:rPr>
        <w:t>（十</w:t>
      </w:r>
      <w:r>
        <w:rPr>
          <w:rFonts w:hint="eastAsia" w:ascii="仿宋" w:hAnsi="仿宋" w:eastAsia="仿宋" w:cs="仿宋_GB2312"/>
          <w:sz w:val="32"/>
          <w:szCs w:val="32"/>
          <w:lang w:val="en-US" w:eastAsia="zh-CN"/>
        </w:rPr>
        <w:t>三</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规定制定全市公安机关装备、被装配备和经费等警务保障标准、制度。</w:t>
      </w:r>
    </w:p>
    <w:p>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（十</w:t>
      </w:r>
      <w:r>
        <w:rPr>
          <w:rFonts w:hint="eastAsia" w:ascii="仿宋" w:hAnsi="仿宋" w:eastAsia="仿宋" w:cs="仿宋_GB2312"/>
          <w:sz w:val="32"/>
          <w:szCs w:val="32"/>
          <w:lang w:val="en-US" w:eastAsia="zh-CN"/>
        </w:rPr>
        <w:t>四</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指导全市公安政治工作和队伍建设；组织实施并指导、管理全市公安教育、培训及技能训练；组织实施并指导公安宣传工作；按规定权限管理干部人事工作。</w:t>
      </w:r>
    </w:p>
    <w:p>
      <w:pPr>
        <w:pStyle w:val="2"/>
        <w:widowControl/>
        <w:autoSpaceDN w:val="0"/>
        <w:spacing w:after="156" w:afterLines="50" w:line="520" w:lineRule="exact"/>
        <w:ind w:firstLine="640"/>
        <w:rPr>
          <w:rFonts w:hint="eastAsia" w:ascii="仿宋" w:hAnsi="仿宋" w:eastAsia="仿宋" w:cs="Times New Roman"/>
          <w:kern w:val="2"/>
          <w:sz w:val="30"/>
          <w:szCs w:val="30"/>
          <w:lang w:val="en-US" w:eastAsia="zh-CN" w:bidi="ar-SA"/>
        </w:rPr>
      </w:pPr>
      <w:r>
        <w:rPr>
          <w:rFonts w:hint="eastAsia" w:ascii="仿宋" w:hAnsi="仿宋" w:eastAsia="仿宋" w:cs="仿宋_GB2312"/>
          <w:sz w:val="32"/>
          <w:szCs w:val="32"/>
        </w:rPr>
        <w:t>（十</w:t>
      </w:r>
      <w:r>
        <w:rPr>
          <w:rFonts w:hint="eastAsia" w:ascii="仿宋" w:hAnsi="仿宋" w:eastAsia="仿宋" w:cs="仿宋_GB2312"/>
          <w:sz w:val="32"/>
          <w:szCs w:val="32"/>
          <w:lang w:val="en-US" w:eastAsia="zh-CN"/>
        </w:rPr>
        <w:t>五</w:t>
      </w:r>
      <w:r>
        <w:rPr>
          <w:rFonts w:hint="eastAsia" w:ascii="仿宋" w:hAnsi="仿宋" w:eastAsia="仿宋" w:cs="仿宋_GB2312"/>
          <w:sz w:val="32"/>
          <w:szCs w:val="32"/>
        </w:rPr>
        <w:t>）</w:t>
      </w:r>
      <w:r>
        <w:rPr>
          <w:rFonts w:hint="eastAsia" w:ascii="仿宋" w:hAnsi="仿宋" w:eastAsia="仿宋" w:cs="Times New Roman"/>
          <w:kern w:val="2"/>
          <w:sz w:val="30"/>
          <w:szCs w:val="30"/>
          <w:lang w:val="en-US" w:eastAsia="zh-CN" w:bidi="ar-SA"/>
        </w:rPr>
        <w:t>制定全市公安队伍监督管理工作规章制度，分析队伍状况，组织实施并指导全市公安机关督察工作；按规定权限实施对干部的监督；查处或督办公安队伍重大和较大违纪案件。</w:t>
      </w:r>
    </w:p>
    <w:p>
      <w:pPr>
        <w:ind w:firstLine="630"/>
        <w:jc w:val="left"/>
        <w:rPr>
          <w:rFonts w:hint="default" w:ascii="黑体" w:hAnsi="黑体" w:eastAsia="黑体"/>
          <w:sz w:val="30"/>
          <w:szCs w:val="30"/>
          <w:lang w:val="en-US" w:eastAsia="zh-CN"/>
        </w:rPr>
      </w:pPr>
      <w:r>
        <w:rPr>
          <w:rFonts w:hint="eastAsia" w:ascii="仿宋" w:hAnsi="仿宋" w:eastAsia="仿宋"/>
          <w:sz w:val="32"/>
          <w:szCs w:val="32"/>
        </w:rPr>
        <w:t>（十</w:t>
      </w:r>
      <w:r>
        <w:rPr>
          <w:rFonts w:hint="eastAsia" w:ascii="仿宋" w:hAnsi="仿宋" w:eastAsia="仿宋"/>
          <w:sz w:val="32"/>
          <w:szCs w:val="32"/>
          <w:lang w:val="en-US" w:eastAsia="zh-CN"/>
        </w:rPr>
        <w:t>六</w:t>
      </w:r>
      <w:r>
        <w:rPr>
          <w:rFonts w:hint="eastAsia" w:ascii="仿宋" w:hAnsi="仿宋" w:eastAsia="仿宋"/>
          <w:sz w:val="32"/>
          <w:szCs w:val="32"/>
        </w:rPr>
        <w:t>）</w:t>
      </w:r>
      <w:r>
        <w:rPr>
          <w:rFonts w:hint="eastAsia" w:ascii="仿宋" w:hAnsi="仿宋" w:eastAsia="仿宋"/>
          <w:sz w:val="30"/>
          <w:szCs w:val="30"/>
        </w:rPr>
        <w:t>承办</w:t>
      </w:r>
      <w:r>
        <w:rPr>
          <w:rFonts w:hint="eastAsia" w:ascii="仿宋" w:hAnsi="仿宋" w:eastAsia="仿宋"/>
          <w:sz w:val="30"/>
          <w:szCs w:val="30"/>
          <w:lang w:val="en-US" w:eastAsia="zh-CN"/>
        </w:rPr>
        <w:t>上级</w:t>
      </w:r>
      <w:r>
        <w:rPr>
          <w:rFonts w:hint="eastAsia" w:ascii="仿宋" w:hAnsi="仿宋" w:eastAsia="仿宋"/>
          <w:sz w:val="30"/>
          <w:szCs w:val="30"/>
        </w:rPr>
        <w:t>交办的其他事项。</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12</w:t>
      </w:r>
      <w:r>
        <w:rPr>
          <w:rFonts w:hint="eastAsia" w:ascii="仿宋" w:hAnsi="仿宋" w:eastAsia="仿宋"/>
          <w:sz w:val="30"/>
          <w:szCs w:val="30"/>
        </w:rPr>
        <w:t>个，包括：</w:t>
      </w:r>
      <w:r>
        <w:rPr>
          <w:rFonts w:hint="eastAsia" w:ascii="仿宋" w:hAnsi="仿宋" w:eastAsia="仿宋"/>
          <w:sz w:val="30"/>
          <w:szCs w:val="30"/>
          <w:lang w:val="en-US" w:eastAsia="zh-CN"/>
        </w:rPr>
        <w:t>景德镇市公安局本级、景德镇市公安局珠山分局、景德镇市公安局昌江分局、景德镇市公安局乐涌分局、景德镇市公安局南河分局、景德镇市公安局机场分局、景德镇市公安局特警支队、景德镇市公安局巡警支队、景德镇市公安局刑侦支队、景德镇市公安局交警支队、景德镇市公安局停管大队、景德镇市公安局文员管理中心</w:t>
      </w:r>
      <w:r>
        <w:rPr>
          <w:rFonts w:hint="eastAsia" w:ascii="仿宋" w:hAnsi="仿宋" w:eastAsia="仿宋"/>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b/>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w:t>
      </w:r>
      <w:r>
        <w:rPr>
          <w:rFonts w:hint="eastAsia" w:ascii="仿宋" w:hAnsi="仿宋" w:eastAsia="仿宋"/>
          <w:sz w:val="32"/>
          <w:szCs w:val="32"/>
        </w:rPr>
        <w:t>人员编制总数为</w:t>
      </w:r>
      <w:r>
        <w:rPr>
          <w:rFonts w:hint="eastAsia" w:ascii="仿宋" w:hAnsi="仿宋" w:eastAsia="仿宋"/>
          <w:sz w:val="32"/>
          <w:szCs w:val="32"/>
          <w:lang w:val="en-US" w:eastAsia="zh-CN"/>
        </w:rPr>
        <w:t>1682</w:t>
      </w:r>
      <w:r>
        <w:rPr>
          <w:rFonts w:hint="eastAsia" w:ascii="仿宋" w:hAnsi="仿宋" w:eastAsia="仿宋"/>
          <w:sz w:val="32"/>
          <w:szCs w:val="32"/>
        </w:rPr>
        <w:t>个，其中行政编制14</w:t>
      </w:r>
      <w:r>
        <w:rPr>
          <w:rFonts w:hint="eastAsia" w:ascii="仿宋" w:hAnsi="仿宋" w:eastAsia="仿宋"/>
          <w:sz w:val="32"/>
          <w:szCs w:val="32"/>
          <w:lang w:val="en-US" w:eastAsia="zh-CN"/>
        </w:rPr>
        <w:t>74</w:t>
      </w:r>
      <w:r>
        <w:rPr>
          <w:rFonts w:hint="eastAsia" w:ascii="仿宋" w:hAnsi="仿宋" w:eastAsia="仿宋"/>
          <w:sz w:val="32"/>
          <w:szCs w:val="32"/>
        </w:rPr>
        <w:t>个、部分补助事业编制</w:t>
      </w:r>
      <w:r>
        <w:rPr>
          <w:rFonts w:ascii="仿宋" w:hAnsi="仿宋" w:eastAsia="仿宋"/>
          <w:sz w:val="32"/>
          <w:szCs w:val="32"/>
        </w:rPr>
        <w:t>112</w:t>
      </w:r>
      <w:r>
        <w:rPr>
          <w:rFonts w:hint="eastAsia" w:ascii="仿宋" w:hAnsi="仿宋" w:eastAsia="仿宋"/>
          <w:sz w:val="32"/>
          <w:szCs w:val="32"/>
        </w:rPr>
        <w:t>个，全部</w:t>
      </w:r>
      <w:r>
        <w:rPr>
          <w:rFonts w:hint="eastAsia" w:ascii="仿宋" w:hAnsi="仿宋" w:eastAsia="仿宋"/>
          <w:sz w:val="32"/>
          <w:szCs w:val="32"/>
          <w:lang w:val="en-US" w:eastAsia="zh-CN"/>
        </w:rPr>
        <w:t>补助</w:t>
      </w:r>
      <w:r>
        <w:rPr>
          <w:rFonts w:hint="eastAsia" w:ascii="仿宋" w:hAnsi="仿宋" w:eastAsia="仿宋"/>
          <w:sz w:val="32"/>
          <w:szCs w:val="32"/>
        </w:rPr>
        <w:t>事业编制</w:t>
      </w:r>
      <w:r>
        <w:rPr>
          <w:rFonts w:hint="eastAsia" w:ascii="仿宋" w:hAnsi="仿宋" w:eastAsia="仿宋"/>
          <w:sz w:val="32"/>
          <w:szCs w:val="32"/>
          <w:lang w:val="en-US" w:eastAsia="zh-CN"/>
        </w:rPr>
        <w:t>9</w:t>
      </w:r>
      <w:r>
        <w:rPr>
          <w:rFonts w:hint="eastAsia" w:ascii="仿宋" w:hAnsi="仿宋" w:eastAsia="仿宋"/>
          <w:sz w:val="32"/>
          <w:szCs w:val="32"/>
        </w:rPr>
        <w:t>6个。在职</w:t>
      </w:r>
      <w:r>
        <w:rPr>
          <w:rFonts w:hint="eastAsia" w:ascii="仿宋" w:hAnsi="仿宋" w:eastAsia="仿宋"/>
          <w:sz w:val="32"/>
          <w:szCs w:val="32"/>
          <w:lang w:val="en-US" w:eastAsia="zh-CN"/>
        </w:rPr>
        <w:t>1505</w:t>
      </w:r>
      <w:r>
        <w:rPr>
          <w:rFonts w:hint="eastAsia" w:ascii="仿宋" w:hAnsi="仿宋" w:eastAsia="仿宋"/>
          <w:sz w:val="32"/>
          <w:szCs w:val="32"/>
        </w:rPr>
        <w:t>人，包括行政</w:t>
      </w:r>
      <w:r>
        <w:rPr>
          <w:rFonts w:ascii="仿宋" w:hAnsi="仿宋" w:eastAsia="仿宋"/>
          <w:sz w:val="32"/>
          <w:szCs w:val="32"/>
        </w:rPr>
        <w:t>13</w:t>
      </w:r>
      <w:r>
        <w:rPr>
          <w:rFonts w:hint="eastAsia" w:ascii="仿宋" w:hAnsi="仿宋" w:eastAsia="仿宋"/>
          <w:sz w:val="32"/>
          <w:szCs w:val="32"/>
          <w:lang w:val="en-US" w:eastAsia="zh-CN"/>
        </w:rPr>
        <w:t>51</w:t>
      </w:r>
      <w:r>
        <w:rPr>
          <w:rFonts w:hint="eastAsia" w:ascii="仿宋" w:hAnsi="仿宋" w:eastAsia="仿宋"/>
          <w:sz w:val="32"/>
          <w:szCs w:val="32"/>
        </w:rPr>
        <w:t>人、事业</w:t>
      </w:r>
      <w:r>
        <w:rPr>
          <w:rFonts w:hint="eastAsia" w:ascii="仿宋" w:hAnsi="仿宋" w:eastAsia="仿宋"/>
          <w:sz w:val="32"/>
          <w:szCs w:val="32"/>
          <w:lang w:val="en-US" w:eastAsia="zh-CN"/>
        </w:rPr>
        <w:t>编制154</w:t>
      </w:r>
      <w:r>
        <w:rPr>
          <w:rFonts w:hint="eastAsia" w:ascii="仿宋" w:hAnsi="仿宋" w:eastAsia="仿宋"/>
          <w:sz w:val="32"/>
          <w:szCs w:val="32"/>
        </w:rPr>
        <w:t>人。</w:t>
      </w: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8595" cy="4878705"/>
            <wp:effectExtent l="0" t="0" r="8255" b="171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
                    <a:stretch>
                      <a:fillRect/>
                    </a:stretch>
                  </pic:blipFill>
                  <pic:spPr>
                    <a:xfrm>
                      <a:off x="0" y="0"/>
                      <a:ext cx="5268595" cy="487870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rPr>
          <w:rFonts w:hint="eastAsia"/>
        </w:rPr>
      </w:pPr>
      <w:r>
        <w:drawing>
          <wp:inline distT="0" distB="0" distL="114300" distR="114300">
            <wp:extent cx="5271135" cy="3908425"/>
            <wp:effectExtent l="0" t="0" r="5715" b="158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
                    <a:stretch>
                      <a:fillRect/>
                    </a:stretch>
                  </pic:blipFill>
                  <pic:spPr>
                    <a:xfrm>
                      <a:off x="0" y="0"/>
                      <a:ext cx="5271135" cy="3908425"/>
                    </a:xfrm>
                    <a:prstGeom prst="rect">
                      <a:avLst/>
                    </a:prstGeom>
                    <a:noFill/>
                    <a:ln>
                      <a:noFill/>
                    </a:ln>
                  </pic:spPr>
                </pic:pic>
              </a:graphicData>
            </a:graphic>
          </wp:inline>
        </w:drawing>
      </w:r>
    </w:p>
    <w:p>
      <w:pPr>
        <w:autoSpaceDE w:val="0"/>
        <w:autoSpaceDN w:val="0"/>
        <w:adjustRightInd w:val="0"/>
        <w:spacing w:line="360" w:lineRule="auto"/>
        <w:jc w:val="left"/>
        <w:rPr>
          <w:rFonts w:hint="eastAsia"/>
        </w:rPr>
      </w:pPr>
      <w:r>
        <w:drawing>
          <wp:inline distT="0" distB="0" distL="114300" distR="114300">
            <wp:extent cx="5270500" cy="4801870"/>
            <wp:effectExtent l="0" t="0" r="6350" b="1778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stretch>
                      <a:fillRect/>
                    </a:stretch>
                  </pic:blipFill>
                  <pic:spPr>
                    <a:xfrm>
                      <a:off x="0" y="0"/>
                      <a:ext cx="5270500" cy="4801870"/>
                    </a:xfrm>
                    <a:prstGeom prst="rect">
                      <a:avLst/>
                    </a:prstGeom>
                    <a:noFill/>
                    <a:ln>
                      <a:noFill/>
                    </a:ln>
                  </pic:spPr>
                </pic:pic>
              </a:graphicData>
            </a:graphic>
          </wp:inline>
        </w:drawing>
      </w:r>
    </w:p>
    <w:p>
      <w:pPr>
        <w:autoSpaceDE w:val="0"/>
        <w:autoSpaceDN w:val="0"/>
        <w:adjustRightInd w:val="0"/>
        <w:spacing w:line="360" w:lineRule="auto"/>
        <w:jc w:val="left"/>
        <w:rPr>
          <w:rFonts w:hint="eastAsia"/>
        </w:rPr>
      </w:pPr>
      <w:r>
        <w:drawing>
          <wp:inline distT="0" distB="0" distL="114300" distR="114300">
            <wp:extent cx="5271135" cy="6339840"/>
            <wp:effectExtent l="0" t="0" r="571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71135" cy="6339840"/>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r>
        <w:drawing>
          <wp:inline distT="0" distB="0" distL="114300" distR="114300">
            <wp:extent cx="5272405" cy="7116445"/>
            <wp:effectExtent l="0" t="0" r="444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72405" cy="7116445"/>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8595" cy="9105900"/>
            <wp:effectExtent l="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68595" cy="910590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38750" cy="524827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38750" cy="524827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313680" cy="2971800"/>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313680" cy="2971800"/>
                    </a:xfrm>
                    <a:prstGeom prst="rect">
                      <a:avLst/>
                    </a:prstGeom>
                    <a:noFill/>
                    <a:ln>
                      <a:noFill/>
                    </a:ln>
                  </pic:spPr>
                </pic:pic>
              </a:graphicData>
            </a:graphic>
          </wp:inline>
        </w:drawing>
      </w:r>
      <w:bookmarkStart w:id="0" w:name="_GoBack"/>
      <w:bookmarkEnd w:id="0"/>
    </w:p>
    <w:p>
      <w:pPr>
        <w:autoSpaceDE w:val="0"/>
        <w:autoSpaceDN w:val="0"/>
        <w:adjustRightInd w:val="0"/>
        <w:spacing w:line="360" w:lineRule="auto"/>
        <w:jc w:val="left"/>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仿宋" w:hAnsi="仿宋" w:eastAsia="仿宋" w:cs="仿宋"/>
          <w:b w:val="0"/>
          <w:bCs w:val="0"/>
          <w:sz w:val="32"/>
          <w:szCs w:val="32"/>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cs="仿宋"/>
          <w:b w:val="0"/>
          <w:bCs w:val="0"/>
          <w:sz w:val="32"/>
          <w:szCs w:val="32"/>
          <w:lang w:val="en-US" w:eastAsia="zh-CN"/>
        </w:rPr>
        <w:t>50611.43</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4487.33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7203.29</w:t>
      </w:r>
      <w:r>
        <w:rPr>
          <w:rFonts w:hint="eastAsia" w:ascii="仿宋" w:hAnsi="仿宋" w:eastAsia="仿宋"/>
          <w:sz w:val="30"/>
          <w:szCs w:val="30"/>
        </w:rPr>
        <w:t>万元，增长</w:t>
      </w:r>
      <w:r>
        <w:rPr>
          <w:rFonts w:hint="eastAsia" w:ascii="仿宋" w:hAnsi="仿宋" w:eastAsia="仿宋"/>
          <w:sz w:val="30"/>
          <w:szCs w:val="30"/>
          <w:lang w:val="en-US" w:eastAsia="zh-CN"/>
        </w:rPr>
        <w:t>16.59</w:t>
      </w:r>
      <w:r>
        <w:rPr>
          <w:rFonts w:hint="eastAsia" w:ascii="仿宋" w:hAnsi="仿宋" w:eastAsia="仿宋"/>
          <w:sz w:val="30"/>
          <w:szCs w:val="30"/>
        </w:rPr>
        <w:t xml:space="preserve"> %；本年收入合计</w:t>
      </w:r>
      <w:r>
        <w:rPr>
          <w:rFonts w:hint="eastAsia" w:ascii="仿宋" w:hAnsi="仿宋" w:eastAsia="仿宋"/>
          <w:sz w:val="30"/>
          <w:szCs w:val="30"/>
          <w:lang w:val="en-US" w:eastAsia="zh-CN"/>
        </w:rPr>
        <w:t>46124.1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7490.05</w:t>
      </w:r>
      <w:r>
        <w:rPr>
          <w:rFonts w:hint="eastAsia" w:ascii="仿宋" w:hAnsi="仿宋" w:eastAsia="仿宋"/>
          <w:sz w:val="30"/>
          <w:szCs w:val="30"/>
        </w:rPr>
        <w:t>万元，增长</w:t>
      </w:r>
      <w:r>
        <w:rPr>
          <w:rFonts w:hint="eastAsia" w:ascii="仿宋" w:hAnsi="仿宋" w:eastAsia="仿宋"/>
          <w:sz w:val="30"/>
          <w:szCs w:val="30"/>
          <w:lang w:val="en-US" w:eastAsia="zh-CN"/>
        </w:rPr>
        <w:t>19.38</w:t>
      </w:r>
      <w:r>
        <w:rPr>
          <w:rFonts w:hint="eastAsia" w:ascii="仿宋" w:hAnsi="仿宋" w:eastAsia="仿宋"/>
          <w:sz w:val="30"/>
          <w:szCs w:val="30"/>
        </w:rPr>
        <w:t>%，主要原因</w:t>
      </w:r>
      <w:r>
        <w:rPr>
          <w:rFonts w:hint="eastAsia" w:ascii="仿宋" w:hAnsi="仿宋" w:eastAsia="仿宋"/>
          <w:sz w:val="30"/>
          <w:szCs w:val="30"/>
          <w:lang w:val="en-US" w:eastAsia="zh-CN"/>
        </w:rPr>
        <w:t>是财政拨款追加，主要为</w:t>
      </w:r>
      <w:r>
        <w:rPr>
          <w:rFonts w:hint="eastAsia" w:ascii="仿宋" w:hAnsi="仿宋" w:eastAsia="仿宋"/>
          <w:sz w:val="30"/>
          <w:szCs w:val="30"/>
        </w:rPr>
        <w:t>：</w:t>
      </w:r>
      <w:r>
        <w:rPr>
          <w:rFonts w:hint="eastAsia" w:ascii="仿宋" w:hAnsi="仿宋" w:eastAsia="仿宋" w:cs="仿宋"/>
          <w:b w:val="0"/>
          <w:bCs w:val="0"/>
          <w:sz w:val="32"/>
          <w:szCs w:val="32"/>
          <w:lang w:val="en-US" w:eastAsia="zh-CN"/>
        </w:rPr>
        <w:t>一是2016年至2019年民警岗位津贴3636.5万元；二是转移支付较年初预算增加756万元（以前年度转移支付装备款加快执行进度）；三是交警支队经费1340万元（非税840万元、双创500万元）；四是留置队（纪委）经费600万元；五是行政单位房租877.28万元。</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43373.65</w:t>
      </w:r>
      <w:r>
        <w:rPr>
          <w:rFonts w:hint="eastAsia" w:ascii="仿宋" w:hAnsi="仿宋" w:eastAsia="仿宋"/>
          <w:sz w:val="30"/>
          <w:szCs w:val="30"/>
        </w:rPr>
        <w:t>万元，占</w:t>
      </w:r>
      <w:r>
        <w:rPr>
          <w:rFonts w:hint="eastAsia" w:ascii="仿宋" w:hAnsi="仿宋" w:eastAsia="仿宋"/>
          <w:sz w:val="30"/>
          <w:szCs w:val="30"/>
          <w:lang w:val="en-US" w:eastAsia="zh-CN"/>
        </w:rPr>
        <w:t>94</w:t>
      </w:r>
      <w:r>
        <w:rPr>
          <w:rFonts w:hint="eastAsia" w:ascii="仿宋" w:hAnsi="仿宋" w:eastAsia="仿宋"/>
          <w:sz w:val="30"/>
          <w:szCs w:val="30"/>
        </w:rPr>
        <w:t>%；其他收入</w:t>
      </w:r>
      <w:r>
        <w:rPr>
          <w:rFonts w:hint="eastAsia" w:ascii="仿宋" w:hAnsi="仿宋" w:eastAsia="仿宋"/>
          <w:sz w:val="30"/>
          <w:szCs w:val="30"/>
          <w:lang w:val="en-US" w:eastAsia="zh-CN"/>
        </w:rPr>
        <w:t>2750.45</w:t>
      </w:r>
      <w:r>
        <w:rPr>
          <w:rFonts w:hint="eastAsia" w:ascii="仿宋" w:hAnsi="仿宋" w:eastAsia="仿宋"/>
          <w:sz w:val="30"/>
          <w:szCs w:val="30"/>
        </w:rPr>
        <w:t>万元，占</w:t>
      </w:r>
      <w:r>
        <w:rPr>
          <w:rFonts w:hint="eastAsia" w:ascii="仿宋" w:hAnsi="仿宋" w:eastAsia="仿宋"/>
          <w:sz w:val="30"/>
          <w:szCs w:val="30"/>
          <w:lang w:val="en-US" w:eastAsia="zh-CN"/>
        </w:rPr>
        <w:t>6</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default" w:ascii="仿宋" w:hAnsi="仿宋" w:eastAsia="仿宋"/>
          <w:sz w:val="32"/>
          <w:szCs w:val="32"/>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50611.43</w:t>
      </w:r>
      <w:r>
        <w:rPr>
          <w:rFonts w:hint="eastAsia" w:ascii="仿宋" w:hAnsi="仿宋" w:eastAsia="仿宋"/>
          <w:sz w:val="30"/>
          <w:szCs w:val="30"/>
        </w:rPr>
        <w:t>万元，其中本年支出合计</w:t>
      </w:r>
      <w:r>
        <w:rPr>
          <w:rFonts w:hint="eastAsia" w:ascii="仿宋" w:hAnsi="仿宋" w:eastAsia="仿宋"/>
          <w:sz w:val="30"/>
          <w:szCs w:val="30"/>
          <w:lang w:val="en-US" w:eastAsia="zh-CN"/>
        </w:rPr>
        <w:t>49325.18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7203.29</w:t>
      </w:r>
      <w:r>
        <w:rPr>
          <w:rFonts w:hint="eastAsia" w:ascii="仿宋" w:hAnsi="仿宋" w:eastAsia="仿宋"/>
          <w:sz w:val="30"/>
          <w:szCs w:val="30"/>
        </w:rPr>
        <w:t>万元，增长</w:t>
      </w:r>
      <w:r>
        <w:rPr>
          <w:rFonts w:hint="eastAsia" w:ascii="仿宋" w:hAnsi="仿宋" w:eastAsia="仿宋"/>
          <w:sz w:val="30"/>
          <w:szCs w:val="30"/>
          <w:lang w:val="en-US" w:eastAsia="zh-CN"/>
        </w:rPr>
        <w:t>16.59</w:t>
      </w:r>
      <w:r>
        <w:rPr>
          <w:rFonts w:hint="eastAsia" w:ascii="仿宋" w:hAnsi="仿宋" w:eastAsia="仿宋"/>
          <w:sz w:val="30"/>
          <w:szCs w:val="30"/>
        </w:rPr>
        <w:t>%，主要原因是：</w:t>
      </w:r>
      <w:r>
        <w:rPr>
          <w:rFonts w:hint="eastAsia" w:ascii="仿宋" w:hAnsi="仿宋" w:eastAsia="仿宋"/>
          <w:sz w:val="32"/>
          <w:szCs w:val="32"/>
          <w:lang w:val="en-US" w:eastAsia="zh-CN"/>
        </w:rPr>
        <w:t>一</w:t>
      </w:r>
      <w:r>
        <w:rPr>
          <w:rFonts w:hint="eastAsia" w:ascii="仿宋" w:hAnsi="仿宋" w:eastAsia="仿宋"/>
          <w:sz w:val="32"/>
          <w:szCs w:val="32"/>
        </w:rPr>
        <w:t>人员经费增人增资；</w:t>
      </w:r>
      <w:r>
        <w:rPr>
          <w:rFonts w:hint="eastAsia" w:ascii="仿宋" w:hAnsi="仿宋" w:eastAsia="仿宋"/>
          <w:sz w:val="32"/>
          <w:szCs w:val="32"/>
          <w:lang w:val="en-US" w:eastAsia="zh-CN"/>
        </w:rPr>
        <w:t>二</w:t>
      </w:r>
      <w:r>
        <w:rPr>
          <w:rFonts w:hint="eastAsia" w:ascii="仿宋" w:hAnsi="仿宋" w:eastAsia="仿宋"/>
          <w:sz w:val="32"/>
          <w:szCs w:val="32"/>
        </w:rPr>
        <w:t>是公安业务工作量的增加而导致经费支出增加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1286.25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3201.08</w:t>
      </w:r>
      <w:r>
        <w:rPr>
          <w:rFonts w:hint="eastAsia" w:ascii="仿宋" w:hAnsi="仿宋" w:eastAsia="仿宋"/>
          <w:sz w:val="30"/>
          <w:szCs w:val="30"/>
        </w:rPr>
        <w:t>万元，下降</w:t>
      </w:r>
      <w:r>
        <w:rPr>
          <w:rFonts w:hint="eastAsia" w:ascii="仿宋" w:hAnsi="仿宋" w:eastAsia="仿宋"/>
          <w:sz w:val="30"/>
          <w:szCs w:val="30"/>
          <w:lang w:val="en-US" w:eastAsia="zh-CN"/>
        </w:rPr>
        <w:t>71.33</w:t>
      </w:r>
      <w:r>
        <w:rPr>
          <w:rFonts w:hint="eastAsia" w:ascii="仿宋" w:hAnsi="仿宋" w:eastAsia="仿宋"/>
          <w:sz w:val="30"/>
          <w:szCs w:val="30"/>
        </w:rPr>
        <w:t>%，主要原因是：</w:t>
      </w:r>
      <w:r>
        <w:rPr>
          <w:rFonts w:hint="eastAsia" w:ascii="仿宋" w:hAnsi="仿宋" w:eastAsia="仿宋"/>
          <w:sz w:val="30"/>
          <w:szCs w:val="30"/>
          <w:lang w:val="en-US" w:eastAsia="zh-CN"/>
        </w:rPr>
        <w:t>盘活存量资金，加</w:t>
      </w:r>
      <w:r>
        <w:rPr>
          <w:rFonts w:hint="eastAsia" w:ascii="仿宋" w:hAnsi="仿宋" w:eastAsia="仿宋"/>
          <w:sz w:val="32"/>
          <w:szCs w:val="32"/>
          <w:lang w:val="en-US" w:eastAsia="zh-CN"/>
        </w:rPr>
        <w:t>大以前年度结余资金清理力度。</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2"/>
          <w:szCs w:val="32"/>
          <w:lang w:val="en-US" w:eastAsia="zh-CN"/>
        </w:rPr>
        <w:t>39636.8</w:t>
      </w:r>
      <w:r>
        <w:rPr>
          <w:rFonts w:hint="eastAsia" w:ascii="仿宋" w:hAnsi="仿宋" w:eastAsia="仿宋"/>
          <w:sz w:val="30"/>
          <w:szCs w:val="30"/>
        </w:rPr>
        <w:t>万元，占</w:t>
      </w:r>
      <w:r>
        <w:rPr>
          <w:rFonts w:hint="eastAsia" w:ascii="仿宋" w:hAnsi="仿宋" w:eastAsia="仿宋"/>
          <w:sz w:val="30"/>
          <w:szCs w:val="30"/>
          <w:lang w:val="en-US" w:eastAsia="zh-CN"/>
        </w:rPr>
        <w:t>80.35</w:t>
      </w:r>
      <w:r>
        <w:rPr>
          <w:rFonts w:hint="eastAsia" w:ascii="仿宋" w:hAnsi="仿宋" w:eastAsia="仿宋"/>
          <w:sz w:val="30"/>
          <w:szCs w:val="30"/>
        </w:rPr>
        <w:t>%；项目支出</w:t>
      </w:r>
      <w:r>
        <w:rPr>
          <w:rFonts w:hint="eastAsia" w:ascii="仿宋" w:hAnsi="仿宋" w:eastAsia="仿宋"/>
          <w:sz w:val="32"/>
          <w:szCs w:val="32"/>
          <w:lang w:val="en-US" w:eastAsia="zh-CN"/>
        </w:rPr>
        <w:t>9688.39</w:t>
      </w:r>
      <w:r>
        <w:rPr>
          <w:rFonts w:hint="eastAsia" w:ascii="仿宋" w:hAnsi="仿宋" w:eastAsia="仿宋"/>
          <w:sz w:val="30"/>
          <w:szCs w:val="30"/>
        </w:rPr>
        <w:t>万元，占</w:t>
      </w:r>
      <w:r>
        <w:rPr>
          <w:rFonts w:hint="eastAsia" w:ascii="仿宋" w:hAnsi="仿宋" w:eastAsia="仿宋"/>
          <w:sz w:val="30"/>
          <w:szCs w:val="30"/>
          <w:lang w:val="en-US" w:eastAsia="zh-CN"/>
        </w:rPr>
        <w:t>19.65</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28544.42</w:t>
      </w:r>
      <w:r>
        <w:rPr>
          <w:rFonts w:hint="eastAsia" w:ascii="仿宋" w:hAnsi="仿宋" w:eastAsia="仿宋"/>
          <w:sz w:val="30"/>
          <w:szCs w:val="30"/>
        </w:rPr>
        <w:t>万元，决算数为</w:t>
      </w:r>
      <w:r>
        <w:rPr>
          <w:rFonts w:hint="eastAsia" w:ascii="仿宋" w:hAnsi="仿宋" w:eastAsia="仿宋"/>
          <w:sz w:val="30"/>
          <w:szCs w:val="30"/>
          <w:lang w:val="en-US" w:eastAsia="zh-CN"/>
        </w:rPr>
        <w:t>46006.75</w:t>
      </w:r>
      <w:r>
        <w:rPr>
          <w:rFonts w:hint="eastAsia" w:ascii="仿宋" w:hAnsi="仿宋" w:eastAsia="仿宋"/>
          <w:sz w:val="30"/>
          <w:szCs w:val="30"/>
        </w:rPr>
        <w:t>万元，完成年初预算的</w:t>
      </w:r>
      <w:r>
        <w:rPr>
          <w:rFonts w:hint="eastAsia" w:ascii="仿宋" w:hAnsi="仿宋" w:eastAsia="仿宋"/>
          <w:sz w:val="30"/>
          <w:szCs w:val="30"/>
          <w:lang w:val="en-US" w:eastAsia="zh-CN"/>
        </w:rPr>
        <w:t>161.17</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14</w:t>
      </w:r>
      <w:r>
        <w:rPr>
          <w:rFonts w:hint="eastAsia" w:ascii="仿宋" w:hAnsi="仿宋" w:eastAsia="仿宋"/>
          <w:sz w:val="30"/>
          <w:szCs w:val="30"/>
        </w:rPr>
        <w:t>万元，决算数为</w:t>
      </w:r>
      <w:r>
        <w:rPr>
          <w:rFonts w:hint="eastAsia" w:ascii="仿宋" w:hAnsi="仿宋" w:eastAsia="仿宋"/>
          <w:sz w:val="30"/>
          <w:szCs w:val="30"/>
          <w:lang w:val="en-US" w:eastAsia="zh-CN"/>
        </w:rPr>
        <w:t>37.04</w:t>
      </w:r>
      <w:r>
        <w:rPr>
          <w:rFonts w:hint="eastAsia" w:ascii="仿宋" w:hAnsi="仿宋" w:eastAsia="仿宋"/>
          <w:sz w:val="30"/>
          <w:szCs w:val="30"/>
        </w:rPr>
        <w:t>万元，完成年初预算的</w:t>
      </w:r>
      <w:r>
        <w:rPr>
          <w:rFonts w:hint="eastAsia" w:ascii="仿宋" w:hAnsi="仿宋" w:eastAsia="仿宋"/>
          <w:sz w:val="30"/>
          <w:szCs w:val="30"/>
          <w:lang w:val="en-US" w:eastAsia="zh-CN"/>
        </w:rPr>
        <w:t>264.57</w:t>
      </w:r>
      <w:r>
        <w:rPr>
          <w:rFonts w:hint="eastAsia" w:ascii="仿宋" w:hAnsi="仿宋" w:eastAsia="仿宋"/>
          <w:sz w:val="30"/>
          <w:szCs w:val="30"/>
        </w:rPr>
        <w:t>%，主要原因是：</w:t>
      </w:r>
      <w:r>
        <w:rPr>
          <w:rFonts w:hint="eastAsia" w:ascii="仿宋" w:hAnsi="仿宋" w:eastAsia="仿宋"/>
          <w:sz w:val="30"/>
          <w:szCs w:val="30"/>
          <w:lang w:val="en-US" w:eastAsia="zh-CN"/>
        </w:rPr>
        <w:t>消化上年度结余资金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（二）公共安全支出年初预算数为</w:t>
      </w:r>
      <w:r>
        <w:rPr>
          <w:rFonts w:hint="eastAsia" w:ascii="仿宋" w:hAnsi="仿宋" w:eastAsia="仿宋"/>
          <w:sz w:val="30"/>
          <w:szCs w:val="30"/>
          <w:lang w:val="en-US" w:eastAsia="zh-CN"/>
        </w:rPr>
        <w:t>24957.62</w:t>
      </w:r>
      <w:r>
        <w:rPr>
          <w:rFonts w:hint="eastAsia" w:ascii="仿宋" w:hAnsi="仿宋" w:eastAsia="仿宋"/>
          <w:sz w:val="30"/>
          <w:szCs w:val="30"/>
        </w:rPr>
        <w:t>万元，决算数为</w:t>
      </w:r>
      <w:r>
        <w:rPr>
          <w:rFonts w:hint="eastAsia" w:ascii="仿宋" w:hAnsi="仿宋" w:eastAsia="仿宋"/>
          <w:sz w:val="30"/>
          <w:szCs w:val="30"/>
          <w:lang w:val="en-US" w:eastAsia="zh-CN"/>
        </w:rPr>
        <w:t>42869.94</w:t>
      </w:r>
      <w:r>
        <w:rPr>
          <w:rFonts w:hint="eastAsia" w:ascii="仿宋" w:hAnsi="仿宋" w:eastAsia="仿宋"/>
          <w:sz w:val="30"/>
          <w:szCs w:val="30"/>
        </w:rPr>
        <w:t>万元，完成年初预算的</w:t>
      </w:r>
      <w:r>
        <w:rPr>
          <w:rFonts w:hint="eastAsia" w:ascii="仿宋" w:hAnsi="仿宋" w:eastAsia="仿宋"/>
          <w:sz w:val="30"/>
          <w:szCs w:val="30"/>
          <w:lang w:val="en-US" w:eastAsia="zh-CN"/>
        </w:rPr>
        <w:t>171.77</w:t>
      </w:r>
      <w:r>
        <w:rPr>
          <w:rFonts w:hint="eastAsia" w:ascii="仿宋" w:hAnsi="仿宋" w:eastAsia="仿宋"/>
          <w:sz w:val="30"/>
          <w:szCs w:val="30"/>
        </w:rPr>
        <w:t>%，主要原因是：</w:t>
      </w:r>
      <w:r>
        <w:rPr>
          <w:rFonts w:hint="eastAsia" w:ascii="仿宋" w:hAnsi="仿宋" w:eastAsia="仿宋" w:cs="仿宋"/>
          <w:b w:val="0"/>
          <w:bCs w:val="0"/>
          <w:sz w:val="32"/>
          <w:szCs w:val="32"/>
          <w:lang w:val="en-US" w:eastAsia="zh-CN"/>
        </w:rPr>
        <w:t>财政预算追加下达政法转移支付、人员经费、专项资金</w:t>
      </w:r>
      <w:r>
        <w:rPr>
          <w:rFonts w:hint="eastAsia" w:ascii="仿宋" w:hAnsi="仿宋" w:eastAsia="仿宋"/>
          <w:sz w:val="30"/>
          <w:szCs w:val="30"/>
        </w:rPr>
        <w:t>。</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三</w:t>
      </w:r>
      <w:r>
        <w:rPr>
          <w:rFonts w:hint="eastAsia" w:ascii="仿宋" w:hAnsi="仿宋" w:eastAsia="仿宋"/>
          <w:sz w:val="30"/>
          <w:szCs w:val="30"/>
          <w:lang w:eastAsia="zh-CN"/>
        </w:rPr>
        <w:t>）</w:t>
      </w:r>
      <w:r>
        <w:rPr>
          <w:rFonts w:hint="eastAsia" w:ascii="仿宋" w:hAnsi="仿宋" w:eastAsia="仿宋"/>
          <w:sz w:val="30"/>
          <w:szCs w:val="30"/>
          <w:lang w:val="en-US" w:eastAsia="zh-CN"/>
        </w:rPr>
        <w:t>社会保障和就业支出年初预算数为2182.5万元，决算数为1967.73万元，完成年初预算的90.15%。</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（四）卫生健康支出年初预算数为206.06万元，决算数为84.79万元，完成年初预算的41.14%。</w:t>
      </w:r>
    </w:p>
    <w:p>
      <w:pPr>
        <w:ind w:firstLine="630"/>
        <w:jc w:val="left"/>
        <w:rPr>
          <w:rFonts w:hint="eastAsia" w:ascii="仿宋" w:hAnsi="仿宋" w:eastAsia="仿宋"/>
          <w:sz w:val="30"/>
          <w:szCs w:val="30"/>
          <w:lang w:val="en-US" w:eastAsia="zh-CN"/>
        </w:rPr>
      </w:pPr>
      <w:r>
        <w:rPr>
          <w:rFonts w:hint="eastAsia" w:ascii="仿宋" w:hAnsi="仿宋" w:eastAsia="仿宋"/>
          <w:sz w:val="30"/>
          <w:szCs w:val="30"/>
          <w:lang w:val="en-US" w:eastAsia="zh-CN"/>
        </w:rPr>
        <w:t>（五）住房保障支出年初预算数为1184.24万元，决算数为1036.24万元，完成年初预算的87.5%。</w:t>
      </w:r>
    </w:p>
    <w:p>
      <w:pPr>
        <w:ind w:firstLine="630"/>
        <w:jc w:val="left"/>
        <w:rPr>
          <w:rFonts w:hint="default" w:ascii="仿宋" w:hAnsi="仿宋" w:eastAsia="仿宋"/>
          <w:sz w:val="30"/>
          <w:szCs w:val="30"/>
          <w:lang w:val="en-US" w:eastAsia="zh-CN"/>
        </w:rPr>
      </w:pPr>
      <w:r>
        <w:rPr>
          <w:rFonts w:hint="eastAsia" w:ascii="仿宋" w:hAnsi="仿宋" w:eastAsia="仿宋"/>
          <w:sz w:val="30"/>
          <w:szCs w:val="30"/>
          <w:lang w:val="en-US" w:eastAsia="zh-CN"/>
        </w:rPr>
        <w:t>（六）其他支出年初预算数为0万元，决算数为5万元，主要原因为财政追加业务经费。</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36819.48</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30313.19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7110.56</w:t>
      </w:r>
      <w:r>
        <w:rPr>
          <w:rFonts w:hint="eastAsia" w:ascii="仿宋" w:hAnsi="仿宋" w:eastAsia="仿宋"/>
          <w:sz w:val="30"/>
          <w:szCs w:val="30"/>
        </w:rPr>
        <w:t>万元，增长</w:t>
      </w:r>
      <w:r>
        <w:rPr>
          <w:rFonts w:hint="eastAsia" w:ascii="仿宋" w:hAnsi="仿宋" w:eastAsia="仿宋"/>
          <w:sz w:val="30"/>
          <w:szCs w:val="30"/>
          <w:lang w:val="en-US" w:eastAsia="zh-CN"/>
        </w:rPr>
        <w:t>30.64</w:t>
      </w:r>
      <w:r>
        <w:rPr>
          <w:rFonts w:hint="eastAsia" w:ascii="仿宋" w:hAnsi="仿宋" w:eastAsia="仿宋"/>
          <w:sz w:val="30"/>
          <w:szCs w:val="30"/>
        </w:rPr>
        <w:t>%，主要原因是：</w:t>
      </w:r>
      <w:r>
        <w:rPr>
          <w:rFonts w:hint="eastAsia" w:ascii="仿宋" w:hAnsi="仿宋" w:eastAsia="仿宋"/>
          <w:sz w:val="30"/>
          <w:szCs w:val="30"/>
          <w:lang w:val="en-US" w:eastAsia="zh-CN"/>
        </w:rPr>
        <w:t>一是补发以前年度执勤津贴、二是人员经费增人增资及公积金调标、三是奖励性工资较18年增加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5100.74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212.34</w:t>
      </w:r>
      <w:r>
        <w:rPr>
          <w:rFonts w:hint="eastAsia" w:ascii="仿宋" w:hAnsi="仿宋" w:eastAsia="仿宋"/>
          <w:sz w:val="30"/>
          <w:szCs w:val="30"/>
        </w:rPr>
        <w:t>万元，增长</w:t>
      </w:r>
      <w:r>
        <w:rPr>
          <w:rFonts w:hint="eastAsia" w:ascii="仿宋" w:hAnsi="仿宋" w:eastAsia="仿宋"/>
          <w:sz w:val="30"/>
          <w:szCs w:val="30"/>
          <w:lang w:val="en-US" w:eastAsia="zh-CN"/>
        </w:rPr>
        <w:t>4.3</w:t>
      </w:r>
      <w:r>
        <w:rPr>
          <w:rFonts w:hint="eastAsia" w:ascii="仿宋" w:hAnsi="仿宋" w:eastAsia="仿宋"/>
          <w:sz w:val="30"/>
          <w:szCs w:val="30"/>
        </w:rPr>
        <w:t>%，主要原因是：</w:t>
      </w:r>
      <w:r>
        <w:rPr>
          <w:rFonts w:hint="eastAsia" w:ascii="仿宋" w:hAnsi="仿宋" w:eastAsia="仿宋"/>
          <w:sz w:val="30"/>
          <w:szCs w:val="30"/>
          <w:lang w:val="en-US" w:eastAsia="zh-CN"/>
        </w:rPr>
        <w:t>当年公安业务量的增加导致相应经费增长</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859.9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253</w:t>
      </w:r>
      <w:r>
        <w:rPr>
          <w:rFonts w:hint="eastAsia" w:ascii="仿宋" w:hAnsi="仿宋" w:eastAsia="仿宋"/>
          <w:sz w:val="30"/>
          <w:szCs w:val="30"/>
        </w:rPr>
        <w:t>万元，增长</w:t>
      </w:r>
      <w:r>
        <w:rPr>
          <w:rFonts w:hint="eastAsia" w:ascii="仿宋" w:hAnsi="仿宋" w:eastAsia="仿宋"/>
          <w:sz w:val="30"/>
          <w:szCs w:val="30"/>
          <w:lang w:val="en-US" w:eastAsia="zh-CN"/>
        </w:rPr>
        <w:t>41.6</w:t>
      </w:r>
      <w:r>
        <w:rPr>
          <w:rFonts w:hint="eastAsia" w:ascii="仿宋" w:hAnsi="仿宋" w:eastAsia="仿宋"/>
          <w:sz w:val="30"/>
          <w:szCs w:val="30"/>
        </w:rPr>
        <w:t>%，主要原因是：</w:t>
      </w:r>
      <w:r>
        <w:rPr>
          <w:rFonts w:hint="eastAsia" w:ascii="仿宋" w:hAnsi="仿宋" w:eastAsia="仿宋"/>
          <w:sz w:val="30"/>
          <w:szCs w:val="30"/>
          <w:lang w:val="en-US" w:eastAsia="zh-CN"/>
        </w:rPr>
        <w:t>抚恤金较2018年增加228万元</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545.65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157.65</w:t>
      </w:r>
      <w:r>
        <w:rPr>
          <w:rFonts w:hint="eastAsia" w:ascii="仿宋" w:hAnsi="仿宋" w:eastAsia="仿宋"/>
          <w:sz w:val="30"/>
          <w:szCs w:val="30"/>
        </w:rPr>
        <w:t>万元，下降</w:t>
      </w:r>
      <w:r>
        <w:rPr>
          <w:rFonts w:hint="eastAsia" w:ascii="仿宋" w:hAnsi="仿宋" w:eastAsia="仿宋"/>
          <w:sz w:val="30"/>
          <w:szCs w:val="30"/>
          <w:lang w:val="en-US" w:eastAsia="zh-CN"/>
        </w:rPr>
        <w:t>22.4</w:t>
      </w:r>
      <w:r>
        <w:rPr>
          <w:rFonts w:hint="eastAsia" w:ascii="仿宋" w:hAnsi="仿宋" w:eastAsia="仿宋"/>
          <w:sz w:val="30"/>
          <w:szCs w:val="30"/>
        </w:rPr>
        <w:t>%，主要原因是：</w:t>
      </w:r>
      <w:r>
        <w:rPr>
          <w:rFonts w:hint="eastAsia" w:ascii="仿宋" w:hAnsi="仿宋" w:eastAsia="仿宋"/>
          <w:sz w:val="30"/>
          <w:szCs w:val="30"/>
          <w:lang w:val="en-US" w:eastAsia="zh-CN"/>
        </w:rPr>
        <w:t>规范支出管理，缩紧经费开支，规范项目管理</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818.21</w:t>
      </w:r>
      <w:r>
        <w:rPr>
          <w:rFonts w:hint="eastAsia" w:ascii="仿宋" w:hAnsi="仿宋" w:eastAsia="仿宋"/>
          <w:sz w:val="30"/>
          <w:szCs w:val="30"/>
        </w:rPr>
        <w:t>万元，决算数为</w:t>
      </w:r>
      <w:r>
        <w:rPr>
          <w:rFonts w:hint="eastAsia" w:ascii="仿宋" w:hAnsi="仿宋" w:eastAsia="仿宋"/>
          <w:sz w:val="30"/>
          <w:szCs w:val="30"/>
          <w:lang w:val="en-US" w:eastAsia="zh-CN"/>
        </w:rPr>
        <w:t>349.88</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42.7</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37.39</w:t>
      </w:r>
      <w:r>
        <w:rPr>
          <w:rFonts w:hint="eastAsia" w:ascii="仿宋" w:hAnsi="仿宋" w:eastAsia="仿宋"/>
          <w:sz w:val="30"/>
          <w:szCs w:val="30"/>
        </w:rPr>
        <w:t>万元，增长</w:t>
      </w:r>
      <w:r>
        <w:rPr>
          <w:rFonts w:hint="eastAsia" w:ascii="仿宋" w:hAnsi="仿宋" w:eastAsia="仿宋"/>
          <w:sz w:val="30"/>
          <w:szCs w:val="30"/>
          <w:lang w:val="en-US" w:eastAsia="zh-CN"/>
        </w:rPr>
        <w:t>11.96</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33.5</w:t>
      </w:r>
      <w:r>
        <w:rPr>
          <w:rFonts w:hint="eastAsia" w:ascii="仿宋" w:hAnsi="仿宋" w:eastAsia="仿宋"/>
          <w:sz w:val="30"/>
          <w:szCs w:val="30"/>
        </w:rPr>
        <w:t>万元，决算数为</w:t>
      </w:r>
      <w:r>
        <w:rPr>
          <w:rFonts w:hint="eastAsia" w:ascii="仿宋" w:hAnsi="仿宋" w:eastAsia="仿宋"/>
          <w:sz w:val="30"/>
          <w:szCs w:val="30"/>
          <w:lang w:val="en-US" w:eastAsia="zh-CN"/>
        </w:rPr>
        <w:t>4.6</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13.7</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9.99</w:t>
      </w:r>
      <w:r>
        <w:rPr>
          <w:rFonts w:hint="eastAsia" w:ascii="仿宋" w:hAnsi="仿宋" w:eastAsia="仿宋"/>
          <w:sz w:val="30"/>
          <w:szCs w:val="30"/>
        </w:rPr>
        <w:t>万元，下降</w:t>
      </w:r>
      <w:r>
        <w:rPr>
          <w:rFonts w:hint="eastAsia" w:ascii="仿宋" w:hAnsi="仿宋" w:eastAsia="仿宋"/>
          <w:sz w:val="30"/>
          <w:szCs w:val="30"/>
          <w:lang w:val="en-US" w:eastAsia="zh-CN"/>
        </w:rPr>
        <w:t>68.47</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因公出国（境）业务减少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40.5</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10.55</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26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3.1</w:t>
      </w:r>
      <w:r>
        <w:rPr>
          <w:rFonts w:hint="eastAsia" w:ascii="仿宋" w:hAnsi="仿宋" w:eastAsia="仿宋"/>
          <w:sz w:val="30"/>
          <w:szCs w:val="30"/>
        </w:rPr>
        <w:t>万元，增长</w:t>
      </w:r>
      <w:r>
        <w:rPr>
          <w:rFonts w:hint="eastAsia" w:ascii="仿宋" w:hAnsi="仿宋" w:eastAsia="仿宋"/>
          <w:sz w:val="30"/>
          <w:szCs w:val="30"/>
          <w:lang w:val="en-US" w:eastAsia="zh-CN"/>
        </w:rPr>
        <w:t>41</w:t>
      </w:r>
      <w:r>
        <w:rPr>
          <w:rFonts w:hint="eastAsia" w:ascii="仿宋" w:hAnsi="仿宋" w:eastAsia="仿宋"/>
          <w:sz w:val="30"/>
          <w:szCs w:val="30"/>
        </w:rPr>
        <w:t>%。决算数较年初预算数增加的主要原因是：</w:t>
      </w:r>
      <w:r>
        <w:rPr>
          <w:rFonts w:hint="eastAsia" w:ascii="仿宋" w:hAnsi="仿宋" w:eastAsia="仿宋"/>
          <w:sz w:val="30"/>
          <w:szCs w:val="30"/>
          <w:lang w:val="en-US" w:eastAsia="zh-CN"/>
        </w:rPr>
        <w:t>2019年发生4.05万元接待外国访团费用</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744.21</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192</w:t>
      </w:r>
      <w:r>
        <w:rPr>
          <w:rFonts w:hint="eastAsia" w:ascii="仿宋" w:hAnsi="仿宋" w:eastAsia="仿宋"/>
          <w:sz w:val="30"/>
          <w:szCs w:val="30"/>
        </w:rPr>
        <w:t>万元，决算数为</w:t>
      </w:r>
      <w:r>
        <w:rPr>
          <w:rFonts w:hint="eastAsia" w:ascii="仿宋" w:hAnsi="仿宋" w:eastAsia="仿宋"/>
          <w:sz w:val="30"/>
          <w:szCs w:val="30"/>
          <w:lang w:val="en-US" w:eastAsia="zh-CN"/>
        </w:rPr>
        <w:t>94.39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49.1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63.91</w:t>
      </w:r>
      <w:r>
        <w:rPr>
          <w:rFonts w:hint="eastAsia" w:ascii="仿宋" w:hAnsi="仿宋" w:eastAsia="仿宋"/>
          <w:sz w:val="30"/>
          <w:szCs w:val="30"/>
        </w:rPr>
        <w:t>万元，增长</w:t>
      </w:r>
      <w:r>
        <w:rPr>
          <w:rFonts w:hint="eastAsia" w:ascii="仿宋" w:hAnsi="仿宋" w:eastAsia="仿宋"/>
          <w:sz w:val="30"/>
          <w:szCs w:val="30"/>
          <w:lang w:val="en-US" w:eastAsia="zh-CN"/>
        </w:rPr>
        <w:t>209</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珠山分局年初公车购置未发生</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552.21</w:t>
      </w:r>
      <w:r>
        <w:rPr>
          <w:rFonts w:hint="eastAsia" w:ascii="仿宋" w:hAnsi="仿宋" w:eastAsia="仿宋"/>
          <w:sz w:val="30"/>
          <w:szCs w:val="30"/>
        </w:rPr>
        <w:t>万元，决算数为</w:t>
      </w:r>
      <w:r>
        <w:rPr>
          <w:rFonts w:hint="eastAsia" w:ascii="仿宋" w:hAnsi="仿宋" w:eastAsia="仿宋"/>
          <w:sz w:val="30"/>
          <w:szCs w:val="30"/>
          <w:lang w:val="en-US" w:eastAsia="zh-CN"/>
        </w:rPr>
        <w:t>240.34</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43</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19.64</w:t>
      </w:r>
      <w:r>
        <w:rPr>
          <w:rFonts w:hint="eastAsia" w:ascii="仿宋" w:hAnsi="仿宋" w:eastAsia="仿宋"/>
          <w:sz w:val="30"/>
          <w:szCs w:val="30"/>
        </w:rPr>
        <w:t>万元，下降</w:t>
      </w:r>
      <w:r>
        <w:rPr>
          <w:rFonts w:hint="eastAsia" w:ascii="仿宋" w:hAnsi="仿宋" w:eastAsia="仿宋"/>
          <w:sz w:val="30"/>
          <w:szCs w:val="30"/>
          <w:lang w:val="en-US" w:eastAsia="zh-CN"/>
        </w:rPr>
        <w:t>7</w:t>
      </w:r>
      <w:r>
        <w:rPr>
          <w:rFonts w:hint="eastAsia" w:ascii="仿宋" w:hAnsi="仿宋" w:eastAsia="仿宋"/>
          <w:sz w:val="30"/>
          <w:szCs w:val="30"/>
        </w:rPr>
        <w:t>%。决算数较年初预算数减少的主要原因是：</w:t>
      </w:r>
      <w:r>
        <w:rPr>
          <w:rFonts w:hint="eastAsia" w:ascii="仿宋" w:hAnsi="仿宋" w:eastAsia="仿宋"/>
          <w:sz w:val="30"/>
          <w:szCs w:val="30"/>
          <w:lang w:val="en-US" w:eastAsia="zh-CN"/>
        </w:rPr>
        <w:t>严格按照预算执行，逐步压缩三公经费开支</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default" w:ascii="仿宋" w:hAnsi="仿宋" w:eastAsia="仿宋"/>
          <w:b w:val="0"/>
          <w:bCs w:val="0"/>
          <w:sz w:val="30"/>
          <w:szCs w:val="30"/>
          <w:lang w:val="en-US"/>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5646.39</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304.29</w:t>
      </w:r>
      <w:r>
        <w:rPr>
          <w:rFonts w:hint="eastAsia" w:ascii="仿宋" w:hAnsi="仿宋" w:eastAsia="仿宋"/>
          <w:sz w:val="30"/>
          <w:szCs w:val="30"/>
        </w:rPr>
        <w:t>万元，降低</w:t>
      </w:r>
      <w:r>
        <w:rPr>
          <w:rFonts w:hint="eastAsia" w:ascii="仿宋" w:hAnsi="仿宋" w:eastAsia="仿宋"/>
          <w:sz w:val="30"/>
          <w:szCs w:val="30"/>
          <w:lang w:val="en-US" w:eastAsia="zh-CN"/>
        </w:rPr>
        <w:t>5.7</w:t>
      </w:r>
      <w:r>
        <w:rPr>
          <w:rFonts w:hint="eastAsia" w:ascii="仿宋" w:hAnsi="仿宋" w:eastAsia="仿宋"/>
          <w:sz w:val="30"/>
          <w:szCs w:val="30"/>
        </w:rPr>
        <w:t>%，主要原因是：</w:t>
      </w:r>
      <w:r>
        <w:rPr>
          <w:rFonts w:hint="eastAsia" w:ascii="仿宋" w:hAnsi="仿宋" w:eastAsia="仿宋"/>
          <w:b w:val="0"/>
          <w:bCs w:val="0"/>
          <w:sz w:val="30"/>
          <w:szCs w:val="30"/>
          <w:lang w:val="en-US" w:eastAsia="zh-CN"/>
        </w:rPr>
        <w:t>落实过紧日子要求压减一般性开展</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3276.28</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1836.02</w:t>
      </w:r>
      <w:r>
        <w:rPr>
          <w:rFonts w:hint="eastAsia" w:ascii="仿宋" w:hAnsi="仿宋" w:eastAsia="仿宋"/>
          <w:sz w:val="30"/>
          <w:szCs w:val="30"/>
        </w:rPr>
        <w:t>万元、政府采购工程支出</w:t>
      </w:r>
      <w:r>
        <w:rPr>
          <w:rFonts w:hint="eastAsia" w:ascii="仿宋" w:hAnsi="仿宋" w:eastAsia="仿宋"/>
          <w:sz w:val="30"/>
          <w:szCs w:val="30"/>
          <w:lang w:val="en-US" w:eastAsia="zh-CN"/>
        </w:rPr>
        <w:t>1013.41</w:t>
      </w:r>
      <w:r>
        <w:rPr>
          <w:rFonts w:hint="eastAsia" w:ascii="仿宋" w:hAnsi="仿宋" w:eastAsia="仿宋"/>
          <w:sz w:val="30"/>
          <w:szCs w:val="30"/>
        </w:rPr>
        <w:t>万元、政府采购服务支出</w:t>
      </w:r>
      <w:r>
        <w:rPr>
          <w:rFonts w:hint="eastAsia" w:ascii="仿宋" w:hAnsi="仿宋" w:eastAsia="仿宋"/>
          <w:sz w:val="30"/>
          <w:szCs w:val="30"/>
          <w:lang w:val="en-US" w:eastAsia="zh-CN"/>
        </w:rPr>
        <w:t>426.84</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3276.28</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100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cs="仿宋_GB2312"/>
          <w:kern w:val="0"/>
          <w:sz w:val="30"/>
          <w:szCs w:val="30"/>
        </w:rPr>
        <w:t>截止201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年12月31日，本部门</w:t>
      </w:r>
      <w:r>
        <w:rPr>
          <w:rFonts w:hint="eastAsia" w:ascii="仿宋" w:hAnsi="仿宋" w:eastAsia="仿宋" w:cs="仿宋_GB2312"/>
          <w:kern w:val="0"/>
          <w:sz w:val="30"/>
          <w:szCs w:val="30"/>
          <w:lang w:val="en-US" w:eastAsia="zh-CN"/>
        </w:rPr>
        <w:t>国有资产占用情况见公开09表《国有资产占用情况表》。其中车辆中的</w:t>
      </w:r>
      <w:r>
        <w:rPr>
          <w:rFonts w:hint="eastAsia" w:ascii="仿宋" w:hAnsi="仿宋" w:eastAsia="仿宋" w:cs="仿宋_GB2312"/>
          <w:kern w:val="0"/>
          <w:sz w:val="30"/>
          <w:szCs w:val="30"/>
        </w:rPr>
        <w:t>其他用车主要是</w:t>
      </w:r>
      <w:r>
        <w:rPr>
          <w:rFonts w:hint="eastAsia" w:ascii="仿宋" w:hAnsi="仿宋" w:eastAsia="仿宋" w:cs="仿宋_GB2312"/>
          <w:kern w:val="0"/>
          <w:sz w:val="30"/>
          <w:szCs w:val="30"/>
          <w:lang w:val="en-US" w:eastAsia="zh-CN"/>
        </w:rPr>
        <w:t>执法执勤车辆266辆，特种车辆3辆，其他</w:t>
      </w:r>
      <w:r>
        <w:rPr>
          <w:rFonts w:hint="eastAsia" w:ascii="仿宋" w:hAnsi="仿宋" w:eastAsia="仿宋"/>
          <w:kern w:val="0"/>
          <w:sz w:val="30"/>
          <w:szCs w:val="30"/>
          <w:lang w:val="en-US" w:eastAsia="zh-CN"/>
        </w:rPr>
        <w:t>车辆114辆</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年度支出全面开展绩效自评，共涉及资金</w:t>
      </w:r>
      <w:r>
        <w:rPr>
          <w:rFonts w:hint="eastAsia" w:ascii="仿宋" w:hAnsi="仿宋" w:eastAsia="仿宋" w:cs="仿宋_GB2312"/>
          <w:kern w:val="0"/>
          <w:sz w:val="30"/>
          <w:szCs w:val="30"/>
          <w:lang w:val="en-US" w:eastAsia="zh-CN"/>
        </w:rPr>
        <w:t>49325.18</w:t>
      </w:r>
      <w:r>
        <w:rPr>
          <w:rFonts w:hint="eastAsia" w:ascii="仿宋" w:hAnsi="仿宋" w:eastAsia="仿宋" w:cs="仿宋_GB2312"/>
          <w:kern w:val="0"/>
          <w:sz w:val="30"/>
          <w:szCs w:val="30"/>
        </w:rPr>
        <w:t>万元，占支出总额的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通过收集的资料，结合制定的《景德镇市公安局部门整体支出绩效评价指标体系》，分别从投入、过程、产出、效果四个方面做出以下分析：</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1、投入指标分析</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（1）该指标由2个二级指标和5个五级指标构成。投入指标的权重分值为10分，实际得分为8.2 分，得分率为82 %。</w:t>
      </w:r>
    </w:p>
    <w:p>
      <w:pPr>
        <w:spacing w:line="460" w:lineRule="exact"/>
        <w:rPr>
          <w:rFonts w:hint="eastAsia" w:ascii="仿宋" w:hAnsi="仿宋" w:eastAsia="仿宋" w:cs="仿宋"/>
          <w:b/>
          <w:bCs/>
          <w:sz w:val="24"/>
        </w:rPr>
      </w:pPr>
      <w:r>
        <w:rPr>
          <w:rFonts w:hint="eastAsia" w:ascii="仿宋" w:hAnsi="仿宋" w:eastAsia="仿宋" w:cs="仿宋"/>
          <w:b/>
          <w:bCs/>
          <w:sz w:val="24"/>
        </w:rPr>
        <w:t>表2投入指标分析</w:t>
      </w:r>
    </w:p>
    <w:tbl>
      <w:tblPr>
        <w:tblStyle w:val="3"/>
        <w:tblW w:w="90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450"/>
        <w:gridCol w:w="784"/>
        <w:gridCol w:w="3611"/>
        <w:gridCol w:w="100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二级指标</w:t>
            </w:r>
          </w:p>
        </w:tc>
        <w:tc>
          <w:tcPr>
            <w:tcW w:w="1450"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三级指标</w:t>
            </w:r>
          </w:p>
        </w:tc>
        <w:tc>
          <w:tcPr>
            <w:tcW w:w="784"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权重</w:t>
            </w:r>
          </w:p>
        </w:tc>
        <w:tc>
          <w:tcPr>
            <w:tcW w:w="3611"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评分说明</w:t>
            </w:r>
          </w:p>
        </w:tc>
        <w:tc>
          <w:tcPr>
            <w:tcW w:w="1005"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得分值</w:t>
            </w:r>
          </w:p>
        </w:tc>
        <w:tc>
          <w:tcPr>
            <w:tcW w:w="983" w:type="dxa"/>
            <w:noWrap w:val="0"/>
            <w:vAlign w:val="center"/>
          </w:tcPr>
          <w:p>
            <w:pPr>
              <w:jc w:val="center"/>
              <w:rPr>
                <w:rFonts w:hint="eastAsia" w:ascii="仿宋" w:hAnsi="仿宋" w:eastAsia="仿宋" w:cs="仿宋"/>
                <w:b/>
                <w:bCs/>
                <w:sz w:val="24"/>
              </w:rPr>
            </w:pPr>
            <w:r>
              <w:rPr>
                <w:rFonts w:hint="eastAsia" w:ascii="仿宋" w:hAnsi="仿宋" w:eastAsia="仿宋" w:cs="仿宋"/>
                <w:b/>
                <w:bCs/>
                <w:sz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50" w:type="dxa"/>
            <w:vMerge w:val="restart"/>
            <w:tcBorders>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A1目标设定</w:t>
            </w:r>
          </w:p>
        </w:tc>
        <w:tc>
          <w:tcPr>
            <w:tcW w:w="1450" w:type="dxa"/>
            <w:tcBorders>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A101-绩效目标合理性</w:t>
            </w:r>
          </w:p>
        </w:tc>
        <w:tc>
          <w:tcPr>
            <w:tcW w:w="784" w:type="dxa"/>
            <w:tcBorders>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①行政法律法规、景德镇市国民经济和社会发展总体规划；②部门“三定”方案确定的职责；③部门制定的中长期战略规划的要求。</w:t>
            </w:r>
          </w:p>
        </w:tc>
        <w:tc>
          <w:tcPr>
            <w:tcW w:w="1005" w:type="dxa"/>
            <w:tcBorders>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1.2</w:t>
            </w:r>
          </w:p>
        </w:tc>
        <w:tc>
          <w:tcPr>
            <w:tcW w:w="983" w:type="dxa"/>
            <w:tcBorders>
              <w:left w:val="single" w:color="auto" w:sz="4" w:space="0"/>
              <w:bottom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50" w:type="dxa"/>
            <w:vMerge w:val="continue"/>
            <w:tcBorders>
              <w:top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A102-绩效指标明确性</w:t>
            </w:r>
          </w:p>
        </w:tc>
        <w:tc>
          <w:tcPr>
            <w:tcW w:w="7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①将部门整体的绩效目标细化分解为具体的工作任务；②通过清晰、可衡量的指标值予以体现。 ③与部门年度的任务数或计划数相对应；④与部门年度预算资金相匹配。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w:t>
            </w:r>
          </w:p>
        </w:tc>
        <w:tc>
          <w:tcPr>
            <w:tcW w:w="983" w:type="dxa"/>
            <w:tcBorders>
              <w:top w:val="single" w:color="auto" w:sz="4" w:space="0"/>
              <w:left w:val="single" w:color="auto" w:sz="4" w:space="0"/>
              <w:bottom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250" w:type="dxa"/>
            <w:tcBorders>
              <w:top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合计</w:t>
            </w:r>
          </w:p>
        </w:tc>
        <w:tc>
          <w:tcPr>
            <w:tcW w:w="7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w:t>
            </w:r>
          </w:p>
        </w:tc>
        <w:tc>
          <w:tcPr>
            <w:tcW w:w="36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2.2</w:t>
            </w:r>
          </w:p>
        </w:tc>
        <w:tc>
          <w:tcPr>
            <w:tcW w:w="983" w:type="dxa"/>
            <w:tcBorders>
              <w:top w:val="single" w:color="auto" w:sz="4" w:space="0"/>
              <w:left w:val="single" w:color="auto" w:sz="4" w:space="0"/>
              <w:bottom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restart"/>
            <w:tcBorders>
              <w:top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A2  预算配置</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A201-在职人员控制率</w:t>
            </w:r>
          </w:p>
        </w:tc>
        <w:tc>
          <w:tcPr>
            <w:tcW w:w="784"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在职人员控制率=（在职人员数/编制数）×100%。控制率小于或等于100%得全部权重分。</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983" w:type="dxa"/>
            <w:tcBorders>
              <w:top w:val="single" w:color="auto" w:sz="4" w:space="0"/>
              <w:left w:val="single" w:color="auto" w:sz="4" w:space="0"/>
              <w:bottom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Merge w:val="continue"/>
            <w:tcBorders>
              <w:top w:val="single" w:color="auto" w:sz="4" w:space="0"/>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450" w:type="dxa"/>
            <w:tcBorders>
              <w:top w:val="single" w:color="auto" w:sz="4" w:space="0"/>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A202-“三公经费”变动率</w:t>
            </w:r>
          </w:p>
        </w:tc>
        <w:tc>
          <w:tcPr>
            <w:tcW w:w="784" w:type="dxa"/>
            <w:tcBorders>
              <w:top w:val="single" w:color="auto" w:sz="4" w:space="0"/>
              <w:left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top w:val="single" w:color="auto" w:sz="4" w:space="0"/>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“三公经费”变动率=[（本年度“三公经费”总额-预算“三公经费”总额）/预算“三公经费”总额]×100%。</w:t>
            </w:r>
          </w:p>
        </w:tc>
        <w:tc>
          <w:tcPr>
            <w:tcW w:w="1005" w:type="dxa"/>
            <w:tcBorders>
              <w:top w:val="single" w:color="auto" w:sz="4" w:space="0"/>
              <w:left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983" w:type="dxa"/>
            <w:tcBorders>
              <w:top w:val="single" w:color="auto" w:sz="4" w:space="0"/>
              <w:lef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250" w:type="dxa"/>
            <w:tcBorders>
              <w:top w:val="single" w:color="auto" w:sz="4" w:space="0"/>
              <w:left w:val="single" w:color="auto" w:sz="4" w:space="0"/>
              <w:right w:val="single" w:color="auto" w:sz="4" w:space="0"/>
            </w:tcBorders>
            <w:noWrap w:val="0"/>
            <w:vAlign w:val="center"/>
          </w:tcPr>
          <w:p>
            <w:pPr>
              <w:widowControl/>
              <w:spacing w:line="300" w:lineRule="exact"/>
              <w:jc w:val="center"/>
              <w:rPr>
                <w:rFonts w:hint="eastAsia" w:ascii="仿宋" w:hAnsi="仿宋" w:eastAsia="仿宋" w:cs="仿宋"/>
                <w:sz w:val="24"/>
              </w:rPr>
            </w:pPr>
          </w:p>
        </w:tc>
        <w:tc>
          <w:tcPr>
            <w:tcW w:w="1450" w:type="dxa"/>
            <w:tcBorders>
              <w:top w:val="single" w:color="auto" w:sz="4" w:space="0"/>
              <w:left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A203重点支出安排率</w:t>
            </w:r>
          </w:p>
        </w:tc>
        <w:tc>
          <w:tcPr>
            <w:tcW w:w="784" w:type="dxa"/>
            <w:tcBorders>
              <w:top w:val="single" w:color="auto" w:sz="4" w:space="0"/>
              <w:left w:val="single" w:color="auto" w:sz="4" w:space="0"/>
              <w:right w:val="single" w:color="auto" w:sz="4" w:space="0"/>
            </w:tcBorders>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611" w:type="dxa"/>
            <w:tcBorders>
              <w:top w:val="single" w:color="auto" w:sz="4" w:space="0"/>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重点支出安排率=（重点项目支出/项目总支出）×100%。部门本年度重点项目支出为专项严打行动</w:t>
            </w:r>
          </w:p>
        </w:tc>
        <w:tc>
          <w:tcPr>
            <w:tcW w:w="1005" w:type="dxa"/>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仿宋" w:hAnsi="仿宋" w:eastAsia="仿宋" w:cs="仿宋"/>
                <w:sz w:val="24"/>
              </w:rPr>
            </w:pPr>
            <w:r>
              <w:rPr>
                <w:rFonts w:hint="eastAsia" w:ascii="仿宋" w:hAnsi="仿宋" w:eastAsia="仿宋" w:cs="仿宋"/>
                <w:sz w:val="24"/>
              </w:rPr>
              <w:t>2</w:t>
            </w:r>
          </w:p>
        </w:tc>
        <w:tc>
          <w:tcPr>
            <w:tcW w:w="983" w:type="dxa"/>
            <w:tcBorders>
              <w:top w:val="single" w:color="auto" w:sz="4" w:space="0"/>
              <w:lef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Borders>
              <w:left w:val="single" w:color="auto" w:sz="4" w:space="0"/>
              <w:right w:val="nil"/>
            </w:tcBorders>
            <w:noWrap w:val="0"/>
            <w:vAlign w:val="center"/>
          </w:tcPr>
          <w:p>
            <w:pPr>
              <w:widowControl/>
              <w:spacing w:line="300" w:lineRule="exact"/>
              <w:jc w:val="center"/>
              <w:rPr>
                <w:rFonts w:hint="eastAsia" w:ascii="仿宋" w:hAnsi="仿宋" w:eastAsia="仿宋" w:cs="仿宋"/>
                <w:sz w:val="24"/>
              </w:rPr>
            </w:pPr>
          </w:p>
        </w:tc>
        <w:tc>
          <w:tcPr>
            <w:tcW w:w="1450"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合计</w:t>
            </w:r>
          </w:p>
        </w:tc>
        <w:tc>
          <w:tcPr>
            <w:tcW w:w="784"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6</w:t>
            </w:r>
          </w:p>
        </w:tc>
        <w:tc>
          <w:tcPr>
            <w:tcW w:w="3611" w:type="dxa"/>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005" w:type="dxa"/>
            <w:noWrap w:val="0"/>
            <w:vAlign w:val="center"/>
          </w:tcPr>
          <w:p>
            <w:pPr>
              <w:widowControl/>
              <w:jc w:val="center"/>
              <w:textAlignment w:val="center"/>
              <w:rPr>
                <w:rFonts w:hint="eastAsia" w:ascii="仿宋" w:hAnsi="仿宋" w:eastAsia="仿宋" w:cs="仿宋"/>
                <w:sz w:val="24"/>
              </w:rPr>
            </w:pPr>
            <w:r>
              <w:rPr>
                <w:rFonts w:hint="eastAsia" w:ascii="仿宋" w:hAnsi="仿宋" w:eastAsia="仿宋" w:cs="仿宋"/>
                <w:sz w:val="24"/>
              </w:rPr>
              <w:t>6</w:t>
            </w:r>
          </w:p>
        </w:tc>
        <w:tc>
          <w:tcPr>
            <w:tcW w:w="983" w:type="dxa"/>
            <w:noWrap w:val="0"/>
            <w:vAlign w:val="center"/>
          </w:tcPr>
          <w:p>
            <w:pPr>
              <w:jc w:val="center"/>
              <w:rPr>
                <w:rFonts w:hint="eastAsia" w:ascii="仿宋" w:hAnsi="仿宋" w:eastAsia="仿宋" w:cs="仿宋"/>
                <w:sz w:val="24"/>
              </w:rPr>
            </w:pPr>
            <w:r>
              <w:rPr>
                <w:rFonts w:hint="eastAsia" w:ascii="仿宋" w:hAnsi="仿宋" w:eastAsia="仿宋" w:cs="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Borders>
              <w:left w:val="single" w:color="auto" w:sz="4" w:space="0"/>
              <w:right w:val="nil"/>
            </w:tcBorders>
            <w:noWrap w:val="0"/>
            <w:vAlign w:val="center"/>
          </w:tcPr>
          <w:p>
            <w:pPr>
              <w:jc w:val="center"/>
              <w:rPr>
                <w:rFonts w:hint="eastAsia" w:ascii="仿宋" w:hAnsi="仿宋" w:eastAsia="仿宋" w:cs="仿宋"/>
                <w:sz w:val="24"/>
              </w:rPr>
            </w:pPr>
          </w:p>
        </w:tc>
        <w:tc>
          <w:tcPr>
            <w:tcW w:w="1450" w:type="dxa"/>
            <w:noWrap w:val="0"/>
            <w:vAlign w:val="center"/>
          </w:tcPr>
          <w:p>
            <w:pPr>
              <w:jc w:val="center"/>
              <w:rPr>
                <w:rFonts w:hint="eastAsia" w:ascii="仿宋" w:hAnsi="仿宋" w:eastAsia="仿宋" w:cs="仿宋"/>
                <w:kern w:val="0"/>
                <w:sz w:val="24"/>
                <w:lang w:bidi="ar"/>
              </w:rPr>
            </w:pPr>
            <w:r>
              <w:rPr>
                <w:rFonts w:hint="eastAsia" w:ascii="仿宋" w:hAnsi="仿宋" w:eastAsia="仿宋" w:cs="仿宋"/>
                <w:sz w:val="24"/>
              </w:rPr>
              <w:t>总计</w:t>
            </w:r>
          </w:p>
        </w:tc>
        <w:tc>
          <w:tcPr>
            <w:tcW w:w="784" w:type="dxa"/>
            <w:noWrap w:val="0"/>
            <w:vAlign w:val="center"/>
          </w:tcPr>
          <w:p>
            <w:pPr>
              <w:jc w:val="center"/>
              <w:rPr>
                <w:rFonts w:hint="eastAsia" w:ascii="仿宋" w:hAnsi="仿宋" w:eastAsia="仿宋" w:cs="仿宋"/>
                <w:kern w:val="0"/>
                <w:sz w:val="24"/>
                <w:lang w:bidi="ar"/>
              </w:rPr>
            </w:pPr>
            <w:r>
              <w:rPr>
                <w:rFonts w:hint="eastAsia" w:ascii="仿宋" w:hAnsi="仿宋" w:eastAsia="仿宋" w:cs="仿宋"/>
                <w:sz w:val="24"/>
              </w:rPr>
              <w:t>10</w:t>
            </w:r>
          </w:p>
        </w:tc>
        <w:tc>
          <w:tcPr>
            <w:tcW w:w="3611" w:type="dxa"/>
            <w:noWrap w:val="0"/>
            <w:vAlign w:val="center"/>
          </w:tcPr>
          <w:p>
            <w:pPr>
              <w:jc w:val="center"/>
              <w:rPr>
                <w:rFonts w:hint="eastAsia" w:ascii="仿宋" w:hAnsi="仿宋" w:eastAsia="仿宋" w:cs="仿宋"/>
                <w:kern w:val="0"/>
                <w:sz w:val="24"/>
                <w:lang w:bidi="ar"/>
              </w:rPr>
            </w:pPr>
          </w:p>
        </w:tc>
        <w:tc>
          <w:tcPr>
            <w:tcW w:w="1005" w:type="dxa"/>
            <w:noWrap w:val="0"/>
            <w:vAlign w:val="center"/>
          </w:tcPr>
          <w:p>
            <w:pPr>
              <w:jc w:val="center"/>
              <w:rPr>
                <w:rFonts w:hint="eastAsia" w:ascii="仿宋" w:hAnsi="仿宋" w:eastAsia="仿宋" w:cs="仿宋"/>
                <w:sz w:val="24"/>
              </w:rPr>
            </w:pPr>
            <w:r>
              <w:rPr>
                <w:rFonts w:hint="eastAsia" w:ascii="仿宋" w:hAnsi="仿宋" w:eastAsia="仿宋" w:cs="仿宋"/>
                <w:sz w:val="24"/>
              </w:rPr>
              <w:t>8.2</w:t>
            </w:r>
          </w:p>
        </w:tc>
        <w:tc>
          <w:tcPr>
            <w:tcW w:w="983" w:type="dxa"/>
            <w:noWrap w:val="0"/>
            <w:vAlign w:val="center"/>
          </w:tcPr>
          <w:p>
            <w:pPr>
              <w:jc w:val="center"/>
              <w:rPr>
                <w:rFonts w:hint="eastAsia" w:ascii="仿宋" w:hAnsi="仿宋" w:eastAsia="仿宋" w:cs="仿宋"/>
                <w:sz w:val="24"/>
              </w:rPr>
            </w:pPr>
            <w:r>
              <w:rPr>
                <w:rFonts w:hint="eastAsia" w:ascii="仿宋" w:hAnsi="仿宋" w:eastAsia="仿宋" w:cs="仿宋"/>
                <w:sz w:val="24"/>
              </w:rPr>
              <w:t>82%</w:t>
            </w:r>
          </w:p>
        </w:tc>
      </w:tr>
    </w:tbl>
    <w:p>
      <w:pPr>
        <w:spacing w:line="520" w:lineRule="exact"/>
        <w:ind w:left="-420" w:leftChars="-200" w:right="-420" w:rightChars="-200" w:firstLine="560" w:firstLineChars="200"/>
        <w:rPr>
          <w:rFonts w:hint="eastAsia" w:ascii="仿宋" w:hAnsi="仿宋" w:eastAsia="仿宋" w:cs="仿宋"/>
          <w:sz w:val="28"/>
          <w:szCs w:val="28"/>
        </w:rPr>
      </w:pP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（2）根据公安局提供的资料，各项目具体得分如下：</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目标设定方面得分：公安局按照要求编制了完整的《绩效目标申报表》，内容包括年度主要任务、年度总体目标、年度绩效指标三个部分。根据部门2019年度部门工作计划，该计划有计划实施内容、时间安排，但年度计划中无具体明确的资金安排，缺少系统单位中长期战略发展规划。根据既定评分标准，目标设定的合理性指标扣除0.8分，绩效指标的明确性扣1分，故目标认定得分为2.2分。</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2）预算配置指标得分具体为：</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（1）在职人员控制率：市公安局经市编办核定编制数1682人，而实际在编人员1505人，在职人员数量小于编制数，根据既定的评分标准，该指标得分为2分。</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（2）“三公经费”变动率：（349.87-1006.71）/（1006.71）×100%=-65.25%＜0，根据既定的评分标准，该指标得分为2分。                           </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3）重点支出安排率：转移支付装备款、公安机关房屋及附属运行和公安信息网络硬件设施及软件设施购置这方面支出的比率很大，重点支出安排率=（6923.95）/9688.38×100%=71.46%&gt;60%，根据既定的评分标准，该指标得分为2分。 </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2、过程指标分析</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1）该指标由3个二级指标和9个三级指标构成。过程指标权重分值28分。实际得分为20分，得分率为71.42%。</w:t>
      </w:r>
    </w:p>
    <w:p>
      <w:pPr>
        <w:spacing w:line="460" w:lineRule="exact"/>
        <w:rPr>
          <w:rFonts w:hint="eastAsia" w:ascii="仿宋" w:hAnsi="仿宋" w:eastAsia="仿宋" w:cs="仿宋"/>
          <w:sz w:val="28"/>
          <w:szCs w:val="28"/>
        </w:rPr>
      </w:pPr>
      <w:r>
        <w:rPr>
          <w:rFonts w:hint="eastAsia" w:ascii="仿宋" w:hAnsi="仿宋" w:eastAsia="仿宋" w:cs="仿宋"/>
          <w:b/>
          <w:bCs/>
          <w:sz w:val="24"/>
        </w:rPr>
        <w:t>表3过程指标分析</w:t>
      </w:r>
    </w:p>
    <w:tbl>
      <w:tblPr>
        <w:tblStyle w:val="3"/>
        <w:tblpPr w:leftFromText="180" w:rightFromText="180" w:vertAnchor="text" w:horzAnchor="page" w:tblpX="1504" w:tblpY="53"/>
        <w:tblOverlap w:val="never"/>
        <w:tblW w:w="9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600"/>
        <w:gridCol w:w="812"/>
        <w:gridCol w:w="3555"/>
        <w:gridCol w:w="1000"/>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top"/>
          </w:tcPr>
          <w:p>
            <w:pPr>
              <w:jc w:val="center"/>
              <w:rPr>
                <w:rFonts w:hint="eastAsia" w:ascii="仿宋" w:hAnsi="仿宋" w:eastAsia="仿宋" w:cs="仿宋"/>
                <w:b/>
                <w:bCs/>
                <w:sz w:val="24"/>
              </w:rPr>
            </w:pPr>
            <w:r>
              <w:rPr>
                <w:rFonts w:hint="eastAsia" w:ascii="仿宋" w:hAnsi="仿宋" w:eastAsia="仿宋" w:cs="仿宋"/>
                <w:b/>
                <w:bCs/>
                <w:sz w:val="24"/>
              </w:rPr>
              <w:t>二级指标</w:t>
            </w:r>
          </w:p>
        </w:tc>
        <w:tc>
          <w:tcPr>
            <w:tcW w:w="1600" w:type="dxa"/>
            <w:noWrap w:val="0"/>
            <w:vAlign w:val="top"/>
          </w:tcPr>
          <w:p>
            <w:pPr>
              <w:jc w:val="center"/>
              <w:rPr>
                <w:rFonts w:hint="eastAsia" w:ascii="仿宋" w:hAnsi="仿宋" w:eastAsia="仿宋" w:cs="仿宋"/>
                <w:b/>
                <w:bCs/>
                <w:sz w:val="24"/>
              </w:rPr>
            </w:pPr>
            <w:r>
              <w:rPr>
                <w:rFonts w:hint="eastAsia" w:ascii="仿宋" w:hAnsi="仿宋" w:eastAsia="仿宋" w:cs="仿宋"/>
                <w:b/>
                <w:bCs/>
                <w:sz w:val="24"/>
              </w:rPr>
              <w:t>三级指标</w:t>
            </w:r>
          </w:p>
        </w:tc>
        <w:tc>
          <w:tcPr>
            <w:tcW w:w="812" w:type="dxa"/>
            <w:noWrap w:val="0"/>
            <w:vAlign w:val="top"/>
          </w:tcPr>
          <w:p>
            <w:pPr>
              <w:jc w:val="center"/>
              <w:rPr>
                <w:rFonts w:hint="eastAsia" w:ascii="仿宋" w:hAnsi="仿宋" w:eastAsia="仿宋" w:cs="仿宋"/>
                <w:b/>
                <w:bCs/>
                <w:sz w:val="24"/>
              </w:rPr>
            </w:pPr>
            <w:r>
              <w:rPr>
                <w:rFonts w:hint="eastAsia" w:ascii="仿宋" w:hAnsi="仿宋" w:eastAsia="仿宋" w:cs="仿宋"/>
                <w:b/>
                <w:bCs/>
                <w:sz w:val="24"/>
              </w:rPr>
              <w:t>权重</w:t>
            </w:r>
          </w:p>
        </w:tc>
        <w:tc>
          <w:tcPr>
            <w:tcW w:w="3555" w:type="dxa"/>
            <w:noWrap w:val="0"/>
            <w:vAlign w:val="top"/>
          </w:tcPr>
          <w:p>
            <w:pPr>
              <w:jc w:val="center"/>
              <w:rPr>
                <w:rFonts w:hint="eastAsia" w:ascii="仿宋" w:hAnsi="仿宋" w:eastAsia="仿宋" w:cs="仿宋"/>
                <w:b/>
                <w:bCs/>
                <w:sz w:val="24"/>
              </w:rPr>
            </w:pPr>
            <w:r>
              <w:rPr>
                <w:rFonts w:hint="eastAsia" w:ascii="仿宋" w:hAnsi="仿宋" w:eastAsia="仿宋" w:cs="仿宋"/>
                <w:b/>
                <w:bCs/>
                <w:sz w:val="24"/>
              </w:rPr>
              <w:t>评分说明</w:t>
            </w:r>
          </w:p>
        </w:tc>
        <w:tc>
          <w:tcPr>
            <w:tcW w:w="1000" w:type="dxa"/>
            <w:noWrap w:val="0"/>
            <w:vAlign w:val="top"/>
          </w:tcPr>
          <w:p>
            <w:pPr>
              <w:jc w:val="center"/>
              <w:rPr>
                <w:rFonts w:hint="eastAsia" w:ascii="仿宋" w:hAnsi="仿宋" w:eastAsia="仿宋" w:cs="仿宋"/>
                <w:b/>
                <w:bCs/>
                <w:sz w:val="24"/>
              </w:rPr>
            </w:pPr>
            <w:r>
              <w:rPr>
                <w:rFonts w:hint="eastAsia" w:ascii="仿宋" w:hAnsi="仿宋" w:eastAsia="仿宋" w:cs="仿宋"/>
                <w:b/>
                <w:bCs/>
                <w:sz w:val="24"/>
              </w:rPr>
              <w:t>得分值</w:t>
            </w:r>
          </w:p>
        </w:tc>
        <w:tc>
          <w:tcPr>
            <w:tcW w:w="966" w:type="dxa"/>
            <w:noWrap w:val="0"/>
            <w:vAlign w:val="top"/>
          </w:tcPr>
          <w:p>
            <w:pPr>
              <w:jc w:val="center"/>
              <w:rPr>
                <w:rFonts w:hint="eastAsia" w:ascii="仿宋" w:hAnsi="仿宋" w:eastAsia="仿宋" w:cs="仿宋"/>
                <w:b/>
                <w:bCs/>
                <w:sz w:val="24"/>
              </w:rPr>
            </w:pPr>
            <w:r>
              <w:rPr>
                <w:rFonts w:hint="eastAsia" w:ascii="仿宋" w:hAnsi="仿宋" w:eastAsia="仿宋" w:cs="仿宋"/>
                <w:b/>
                <w:bCs/>
                <w:sz w:val="24"/>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33" w:type="dxa"/>
            <w:vMerge w:val="restart"/>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B11-预算执行</w:t>
            </w:r>
          </w:p>
          <w:p>
            <w:pPr>
              <w:widowControl/>
              <w:spacing w:line="300" w:lineRule="exact"/>
              <w:jc w:val="left"/>
              <w:textAlignment w:val="center"/>
              <w:rPr>
                <w:rFonts w:hint="eastAsia" w:ascii="仿宋" w:hAnsi="仿宋" w:eastAsia="仿宋" w:cs="仿宋"/>
                <w:kern w:val="0"/>
                <w:sz w:val="24"/>
                <w:lang w:bidi="ar"/>
              </w:rPr>
            </w:pPr>
          </w:p>
        </w:tc>
        <w:tc>
          <w:tcPr>
            <w:tcW w:w="1600" w:type="dxa"/>
            <w:tcBorders>
              <w:lef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B101-预算完成率</w:t>
            </w:r>
          </w:p>
        </w:tc>
        <w:tc>
          <w:tcPr>
            <w:tcW w:w="812"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预算完成率=（预算完成数/预算数）×100%。</w:t>
            </w: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w:t>
            </w:r>
          </w:p>
        </w:tc>
        <w:tc>
          <w:tcPr>
            <w:tcW w:w="966"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33" w:type="dxa"/>
            <w:vMerge w:val="continue"/>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600" w:type="dxa"/>
            <w:tcBorders>
              <w:lef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B102-结转结余变动率</w:t>
            </w:r>
          </w:p>
        </w:tc>
        <w:tc>
          <w:tcPr>
            <w:tcW w:w="812"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结转结余变动率=[（本年度累计结转结余资金总额-上年度累计结转结余资金总额）/上年度累计结转结余资金总额]×100%。</w:t>
            </w: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966"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33" w:type="dxa"/>
            <w:vMerge w:val="continue"/>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600" w:type="dxa"/>
            <w:tcBorders>
              <w:lef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B103-公用经费控制率</w:t>
            </w:r>
          </w:p>
        </w:tc>
        <w:tc>
          <w:tcPr>
            <w:tcW w:w="812"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公用经费控制率=（实际支出公用经费总额/预算安排公用经费总额）×100%。</w:t>
            </w: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w:t>
            </w:r>
          </w:p>
        </w:tc>
        <w:tc>
          <w:tcPr>
            <w:tcW w:w="966"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合计</w:t>
            </w:r>
          </w:p>
        </w:tc>
        <w:tc>
          <w:tcPr>
            <w:tcW w:w="812"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7</w:t>
            </w:r>
          </w:p>
        </w:tc>
        <w:tc>
          <w:tcPr>
            <w:tcW w:w="966"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vMerge w:val="restart"/>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B21-预算管理</w:t>
            </w:r>
          </w:p>
        </w:tc>
        <w:tc>
          <w:tcPr>
            <w:tcW w:w="1600"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B201-管理制度健全性</w:t>
            </w:r>
          </w:p>
        </w:tc>
        <w:tc>
          <w:tcPr>
            <w:tcW w:w="812"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①制定或具有财务管理制度管理制度；②制定或具有单位人员管理制度；③制定或具有工作规范管理制度；④制定或具有绩效管理制度。</w:t>
            </w: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3.6</w:t>
            </w:r>
          </w:p>
        </w:tc>
        <w:tc>
          <w:tcPr>
            <w:tcW w:w="966"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vMerge w:val="continue"/>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B202-资金使用合规性</w:t>
            </w:r>
          </w:p>
        </w:tc>
        <w:tc>
          <w:tcPr>
            <w:tcW w:w="812"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5</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①完全合规得5分；②基本合规得3分；③不合规不得分。</w:t>
            </w: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966"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vMerge w:val="continue"/>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B203-预决算信息公开性</w:t>
            </w:r>
          </w:p>
        </w:tc>
        <w:tc>
          <w:tcPr>
            <w:tcW w:w="812"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①在景德镇市财政局能及时查到部门预决算全部内容的信息；②在本部门公示了预决算全部内容的信息。</w:t>
            </w: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966"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vMerge w:val="continue"/>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B204-基础信息完善性</w:t>
            </w:r>
          </w:p>
        </w:tc>
        <w:tc>
          <w:tcPr>
            <w:tcW w:w="812"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①部门建立了内部控制制度；②内部控制制度得到了有效执行。</w:t>
            </w: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w:t>
            </w:r>
          </w:p>
        </w:tc>
        <w:tc>
          <w:tcPr>
            <w:tcW w:w="966"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合计</w:t>
            </w:r>
          </w:p>
        </w:tc>
        <w:tc>
          <w:tcPr>
            <w:tcW w:w="812"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14</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10.6</w:t>
            </w:r>
          </w:p>
        </w:tc>
        <w:tc>
          <w:tcPr>
            <w:tcW w:w="966"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85.71%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33" w:type="dxa"/>
            <w:tcBorders>
              <w:left w:val="single" w:color="auto" w:sz="4" w:space="0"/>
              <w:righ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B31-资产管理</w:t>
            </w:r>
          </w:p>
        </w:tc>
        <w:tc>
          <w:tcPr>
            <w:tcW w:w="1600"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B301资产管理安全性</w:t>
            </w:r>
          </w:p>
        </w:tc>
        <w:tc>
          <w:tcPr>
            <w:tcW w:w="812"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①资产保存完整；②资产配置合理；③资产处置规范；④资产账务管理合规</w:t>
            </w: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2.4</w:t>
            </w:r>
          </w:p>
        </w:tc>
        <w:tc>
          <w:tcPr>
            <w:tcW w:w="966"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lef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812"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2.4</w:t>
            </w:r>
          </w:p>
        </w:tc>
        <w:tc>
          <w:tcPr>
            <w:tcW w:w="966"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tcBorders>
              <w:left w:val="single" w:color="auto" w:sz="4" w:space="0"/>
            </w:tcBorders>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600" w:type="dxa"/>
            <w:noWrap w:val="0"/>
            <w:vAlign w:val="center"/>
          </w:tcPr>
          <w:p>
            <w:pPr>
              <w:widowControl/>
              <w:spacing w:line="300" w:lineRule="exact"/>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总计</w:t>
            </w:r>
          </w:p>
        </w:tc>
        <w:tc>
          <w:tcPr>
            <w:tcW w:w="812"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28</w:t>
            </w:r>
          </w:p>
        </w:tc>
        <w:tc>
          <w:tcPr>
            <w:tcW w:w="3555" w:type="dxa"/>
            <w:noWrap w:val="0"/>
            <w:vAlign w:val="center"/>
          </w:tcPr>
          <w:p>
            <w:pPr>
              <w:widowControl/>
              <w:spacing w:line="300" w:lineRule="exact"/>
              <w:jc w:val="left"/>
              <w:textAlignment w:val="center"/>
              <w:rPr>
                <w:rFonts w:hint="eastAsia" w:ascii="仿宋" w:hAnsi="仿宋" w:eastAsia="仿宋" w:cs="仿宋"/>
                <w:kern w:val="0"/>
                <w:sz w:val="24"/>
                <w:lang w:bidi="ar"/>
              </w:rPr>
            </w:pPr>
          </w:p>
        </w:tc>
        <w:tc>
          <w:tcPr>
            <w:tcW w:w="1000" w:type="dxa"/>
            <w:noWrap w:val="0"/>
            <w:vAlign w:val="center"/>
          </w:tcPr>
          <w:p>
            <w:pPr>
              <w:widowControl/>
              <w:spacing w:line="300" w:lineRule="exact"/>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20</w:t>
            </w:r>
          </w:p>
        </w:tc>
        <w:tc>
          <w:tcPr>
            <w:tcW w:w="966" w:type="dxa"/>
            <w:noWrap w:val="0"/>
            <w:vAlign w:val="center"/>
          </w:tcPr>
          <w:p>
            <w:pPr>
              <w:widowControl/>
              <w:spacing w:line="300" w:lineRule="exact"/>
              <w:jc w:val="center"/>
              <w:textAlignment w:val="center"/>
              <w:rPr>
                <w:rFonts w:hint="eastAsia" w:ascii="仿宋" w:hAnsi="仿宋" w:eastAsia="仿宋" w:cs="仿宋"/>
                <w:kern w:val="0"/>
                <w:sz w:val="24"/>
                <w:lang w:bidi="ar"/>
              </w:rPr>
            </w:pPr>
            <w:r>
              <w:rPr>
                <w:rFonts w:hint="eastAsia" w:ascii="仿宋" w:hAnsi="仿宋" w:eastAsia="仿宋" w:cs="仿宋"/>
                <w:kern w:val="0"/>
                <w:sz w:val="24"/>
                <w:lang w:bidi="ar"/>
              </w:rPr>
              <w:t>71.42%</w:t>
            </w:r>
          </w:p>
        </w:tc>
      </w:tr>
    </w:tbl>
    <w:p>
      <w:pPr>
        <w:autoSpaceDE w:val="0"/>
        <w:autoSpaceDN w:val="0"/>
        <w:adjustRightInd w:val="0"/>
        <w:spacing w:line="360" w:lineRule="auto"/>
        <w:jc w:val="left"/>
        <w:rPr>
          <w:rFonts w:hint="eastAsia" w:ascii="仿宋" w:hAnsi="仿宋" w:eastAsia="仿宋" w:cs="仿宋_GB2312"/>
          <w:kern w:val="0"/>
          <w:sz w:val="30"/>
          <w:szCs w:val="30"/>
        </w:rPr>
      </w:pPr>
    </w:p>
    <w:p>
      <w:pPr>
        <w:ind w:firstLine="630"/>
        <w:jc w:val="left"/>
        <w:rPr>
          <w:rFonts w:hint="eastAsia" w:ascii="仿宋" w:hAnsi="仿宋" w:eastAsia="仿宋" w:cs="Times New Roman"/>
          <w:kern w:val="0"/>
          <w:sz w:val="30"/>
          <w:szCs w:val="30"/>
          <w:lang w:val="en-US" w:eastAsia="zh-CN" w:bidi="ar-SA"/>
        </w:rPr>
      </w:pPr>
      <w:r>
        <w:rPr>
          <w:rFonts w:hint="eastAsia" w:ascii="仿宋" w:hAnsi="仿宋" w:eastAsia="仿宋" w:cs="Times New Roman"/>
          <w:kern w:val="0"/>
          <w:sz w:val="30"/>
          <w:szCs w:val="30"/>
          <w:lang w:val="en-US" w:eastAsia="zh-CN" w:bidi="ar-SA"/>
        </w:rPr>
        <w:t>根据设立的绩效评价指标体系及评分标准，景德镇市公安局2019年度单位整体支出绩效评价最终得分为83.74分，绩效等级为“良好”。绩效报告的主要结论：景德镇市公安局各项管理制度建设较为健全，在严打方面成绩较为显著，为市区安全作出了极大贡献，社会服务较上年有较大改变。但在预算执行、财务管理方面还需加强，警务机制还不完善，基础工作欠牢固，警务实战能力不够强，执法规范还有薄弱环节，队伍建设有待于进一步加强。</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黑体" w:hAnsi="黑体" w:eastAsia="黑体" w:cs="黑体"/>
          <w:b w:val="0"/>
          <w:bCs w:val="0"/>
          <w:sz w:val="30"/>
          <w:szCs w:val="30"/>
        </w:rPr>
      </w:pPr>
      <w:r>
        <w:rPr>
          <w:rFonts w:hint="eastAsia" w:ascii="黑体" w:hAnsi="黑体" w:eastAsia="黑体" w:cs="黑体"/>
          <w:b w:val="0"/>
          <w:bCs w:val="0"/>
          <w:sz w:val="30"/>
          <w:szCs w:val="30"/>
        </w:rPr>
        <w:t xml:space="preserve">一、收入科目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w:t>
      </w:r>
      <w:r>
        <w:rPr>
          <w:rFonts w:hint="eastAsia" w:ascii="仿宋" w:hAnsi="仿宋" w:eastAsia="仿宋" w:cs="仿宋"/>
          <w:sz w:val="30"/>
          <w:szCs w:val="30"/>
          <w:lang w:val="en-US" w:eastAsia="zh-CN"/>
        </w:rPr>
        <w:t>市</w:t>
      </w:r>
      <w:r>
        <w:rPr>
          <w:rFonts w:hint="eastAsia" w:ascii="仿宋" w:hAnsi="仿宋" w:eastAsia="仿宋" w:cs="仿宋"/>
          <w:sz w:val="30"/>
          <w:szCs w:val="30"/>
        </w:rPr>
        <w:t>级财政当年拨付的资金。</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（二）事业收入：指事业单位在专业业务活动及辅助活动之外开展非独立核算经营活动取得的收入。</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（三）上年结转和结余：</w:t>
      </w:r>
      <w:r>
        <w:rPr>
          <w:rFonts w:hint="eastAsia" w:ascii="仿宋" w:hAnsi="仿宋" w:eastAsia="仿宋" w:cs="仿宋"/>
          <w:sz w:val="30"/>
          <w:szCs w:val="30"/>
          <w:lang w:eastAsia="zh-CN"/>
        </w:rPr>
        <w:t>指以前年度尚未完成，结转到本年仍按原规定用途继续使用的资金。</w:t>
      </w:r>
    </w:p>
    <w:p>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二、支出科目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公共安全支出（类）公安（款）行政运行（项）：指各级公安机关用于保障机构正常运行、开展日常工作的基本支出。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公共安全支出（类）公安（款）一般行政管理事务（项）：指各 级公安机关用于民警保险、警用服装购置、专用设备购置，基建项目等的项目支出。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公共安全支出（类）公安（款）治安管理（项）：指各级公安机关开展治安管理工作的支出，包括所属巡警队、特警队、派出所、110等方面的支出。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公共安全支出（类）公安（款）刑事侦查（项）：指各级公安机关开展打击刑事犯罪活动的支出。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lang w:val="en-US" w:eastAsia="zh-CN"/>
        </w:rPr>
        <w:t xml:space="preserve">公共安全支出（类）公安（款）经济犯罪侦查（项）：指各级公安机关开展打击经济犯罪活动的支出。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公共安全支出（类）公安（款）出入境管理（项）：指各级公安机关开展出入境管理工作的支出，包括“三非”外国人遣返，出入境证照印制、管理以及出入境边防检查站等方面的支出。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公共安全支出（类）公安（款）禁毒管理（项）：指各级公安机关开展打击禁毒工作的支出。</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公共安全支出（类）公安（款）道路交通管理（项）：指各级公安机关用于开展交通管理业务、交通安全宣传，畅通工程、车驾管业务等的支出。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公共安全支出（类）公安（款）居民身份证管理（项）：指各级公安机关开展居民身份证印制、管理等方面的支出。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公共安全支出（类）公安（款）网络运行及维护（项）：指各级公安机关各类专网、局域网的租费、运行费、维护费、软件开发费等方面的支出。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公共安全支出（类）公安（款）拘押收教场所管理（项）：指各 级公安机关所属看守所、行政拘留所、收容教育所、强制戒毒所等方面的支出。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公共安全支出（类）公安（款）信息化建设（项）：指各级公安机关用于信息化方面的支出。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公共安全支出（类）公安（款）其他公安支出（项）：指上述项目以外其他用于公安方面的支出。 </w:t>
      </w:r>
    </w:p>
    <w:p>
      <w:pPr>
        <w:pStyle w:val="5"/>
        <w:spacing w:line="600" w:lineRule="atLeas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社会保障和就业支出（类）行政事业单位离退休（款）未归口管理的行政单位离退休（项）：指未实行归口管理的行政单位开支的离退休支出。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社会保障和就业支出（类）行政事业单位离退休（款）机关事业单位基本养老保险缴费支出（项）：指机关事业单位实施养老保险制度由单位缴纳的基本养老保险费支出。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医疗卫生和计划生育支出（类）行政事业单位医疗（款）行政单位医疗（项）：指财政部门集中安排的行政单位基本医疗保险缴费经费，未参加医疗保险的行政单位的公费医疗经费，按国家规定享受离休人员、红军老战士待遇人员的医疗经费。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交通运输支出（类）车辆通行费及对应专项债务收入安排的支出（款）其他车辆通行费安排的支出（项）：指从高速公路车辆通行费中安排给高速交警部门的，用于保障高速交警部门正常运行、开展日常工作以及人员经费的支出。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住房保障支出（类）住房改革支出（款）购房补贴（项）：指按房改政策规定，向符合条件民警、职工发放的用于购买住房的补贴。</w:t>
      </w:r>
    </w:p>
    <w:p>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纳入市级财政决算管理的“三公”经费，是指公安局用于财政拨款安排的因公出国（境）费、公务用车购置及运行费和公务接待费。</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其中：因公出国（境）反映单位公务出国（境）的国际旅费、国外城市间交通费、住宿费、伙食费、培训费、公杂费等支出；</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公务用车购置及运行费反映单位公务用车车辆购置支出（含车辆购置税）及租用费、燃料费、维修费、过路过桥费、保险费、安全奖励费用等支出；</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公务接待费反映单位按规定开支的各类公务接待（含外宾接待）支出运行维护费、公务接待费。</w:t>
      </w:r>
    </w:p>
    <w:p>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pPr>
        <w:pStyle w:val="5"/>
        <w:spacing w:line="600" w:lineRule="atLeast"/>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spacing w:line="580" w:lineRule="exact"/>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    </w:t>
      </w:r>
    </w:p>
    <w:p>
      <w:pPr>
        <w:pStyle w:val="5"/>
        <w:spacing w:line="600" w:lineRule="atLeast"/>
        <w:ind w:firstLine="600"/>
        <w:rPr>
          <w:rFonts w:hint="eastAsia" w:ascii="仿宋" w:hAnsi="仿宋" w:eastAsia="仿宋"/>
          <w:sz w:val="30"/>
          <w:szCs w:val="30"/>
        </w:rPr>
      </w:pPr>
    </w:p>
    <w:p>
      <w:pPr>
        <w:ind w:firstLine="630"/>
        <w:jc w:val="left"/>
        <w:rPr>
          <w:rFonts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5F05E"/>
    <w:multiLevelType w:val="singleLevel"/>
    <w:tmpl w:val="3825F0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B0E99"/>
    <w:rsid w:val="042E2764"/>
    <w:rsid w:val="08F37360"/>
    <w:rsid w:val="0BF56E67"/>
    <w:rsid w:val="0C7E6CF3"/>
    <w:rsid w:val="11C0220E"/>
    <w:rsid w:val="13586E3A"/>
    <w:rsid w:val="135C06CF"/>
    <w:rsid w:val="173E01AD"/>
    <w:rsid w:val="1A686B18"/>
    <w:rsid w:val="1A8D70E6"/>
    <w:rsid w:val="1C3600A7"/>
    <w:rsid w:val="1D7A6A21"/>
    <w:rsid w:val="1EED02B9"/>
    <w:rsid w:val="1F682F54"/>
    <w:rsid w:val="1FAC0F97"/>
    <w:rsid w:val="1FEB16AD"/>
    <w:rsid w:val="1FEF1683"/>
    <w:rsid w:val="20EF1399"/>
    <w:rsid w:val="28760763"/>
    <w:rsid w:val="29465B40"/>
    <w:rsid w:val="2E9308A5"/>
    <w:rsid w:val="2F0C3061"/>
    <w:rsid w:val="2FD80C3C"/>
    <w:rsid w:val="312951FF"/>
    <w:rsid w:val="352A495A"/>
    <w:rsid w:val="35E723D9"/>
    <w:rsid w:val="3E710819"/>
    <w:rsid w:val="40C063B0"/>
    <w:rsid w:val="410459E5"/>
    <w:rsid w:val="41B466D0"/>
    <w:rsid w:val="43BF44C8"/>
    <w:rsid w:val="43C66686"/>
    <w:rsid w:val="44B73657"/>
    <w:rsid w:val="4E611685"/>
    <w:rsid w:val="4EBB7E65"/>
    <w:rsid w:val="4F4C564B"/>
    <w:rsid w:val="5173505F"/>
    <w:rsid w:val="5221350F"/>
    <w:rsid w:val="52817C00"/>
    <w:rsid w:val="53AA6480"/>
    <w:rsid w:val="54E6244F"/>
    <w:rsid w:val="5564240D"/>
    <w:rsid w:val="5D164049"/>
    <w:rsid w:val="5D3D13AF"/>
    <w:rsid w:val="6003769A"/>
    <w:rsid w:val="60723155"/>
    <w:rsid w:val="66747FDE"/>
    <w:rsid w:val="67612520"/>
    <w:rsid w:val="686E7D1E"/>
    <w:rsid w:val="68A923BE"/>
    <w:rsid w:val="68C663B8"/>
    <w:rsid w:val="6B93052F"/>
    <w:rsid w:val="6DA83CD9"/>
    <w:rsid w:val="727D7A3C"/>
    <w:rsid w:val="74AF213F"/>
    <w:rsid w:val="77D84A16"/>
    <w:rsid w:val="77F22441"/>
    <w:rsid w:val="7A1B5FDB"/>
    <w:rsid w:val="7BD531A8"/>
    <w:rsid w:val="7CEF22E7"/>
    <w:rsid w:val="7D8712B6"/>
    <w:rsid w:val="7FAB6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jc w:val="left"/>
    </w:pPr>
    <w:rPr>
      <w:rFonts w:ascii="Calibri" w:hAnsi="Calibri" w:cs="宋体"/>
      <w:kern w:val="0"/>
      <w:sz w:val="24"/>
    </w:r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Asus</cp:lastModifiedBy>
  <dcterms:modified xsi:type="dcterms:W3CDTF">2020-10-13T08:16:26Z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