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w:t>
      </w:r>
      <w:r>
        <w:rPr>
          <w:rFonts w:hint="eastAsia" w:ascii="黑体" w:hAnsi="黑体" w:eastAsia="黑体"/>
          <w:sz w:val="44"/>
          <w:szCs w:val="36"/>
          <w:lang w:eastAsia="zh-CN"/>
        </w:rPr>
        <w:t>财政局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w:t>
      </w:r>
      <w:r>
        <w:rPr>
          <w:rFonts w:hint="eastAsia" w:ascii="黑体" w:hAnsi="黑体" w:eastAsia="黑体"/>
          <w:sz w:val="32"/>
          <w:szCs w:val="32"/>
          <w:lang w:eastAsia="zh-CN"/>
        </w:rPr>
        <w:t>财政局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景德镇市</w:t>
      </w:r>
      <w:r>
        <w:rPr>
          <w:rFonts w:hint="eastAsia" w:ascii="宋体" w:hAnsi="宋体"/>
          <w:b/>
          <w:sz w:val="32"/>
          <w:szCs w:val="32"/>
          <w:lang w:eastAsia="zh-CN"/>
        </w:rPr>
        <w:t>财政局</w:t>
      </w:r>
      <w:r>
        <w:rPr>
          <w:rFonts w:hint="eastAsia" w:ascii="宋体" w:hAnsi="宋体"/>
          <w:b/>
          <w:sz w:val="32"/>
          <w:szCs w:val="30"/>
        </w:rPr>
        <w:t>概况</w:t>
      </w:r>
    </w:p>
    <w:p>
      <w:pPr>
        <w:ind w:firstLine="630"/>
        <w:jc w:val="center"/>
        <w:rPr>
          <w:rFonts w:hint="eastAsia"/>
          <w:sz w:val="32"/>
          <w:szCs w:val="32"/>
        </w:rPr>
      </w:pPr>
      <w:bookmarkStart w:id="0" w:name="_GoBack"/>
      <w:bookmarkEnd w:id="0"/>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pPr>
        <w:pStyle w:val="2"/>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（一）贯彻执行国家的财政、税收方针、政策及其他有关政策；制订全市性财政立法规划，拟订地方性财政、税收、财务、会计管理、国有资产管理的法规草案及实施办法和规章制度。</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（二）参与制定全市各项有关宏观经济政策，提出运用财政政策实施宏观调控和综合平衡社会财力的建议；研究全市财政发展战略，拟订和执行全市财政分配政策；编制全市中长期财政规划；指导全市财政工作。</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三）编制市本级年度预算草案和汇编全市年度预算：组织全市和市本级预算的执行；编制市本级决算草案和审编全市决算草案；受市政府委托，向市人大报告全市及市本级预算及其执行情况，向市人大常委会报告市本级决算。</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（四）贯彻执行国家税收法律法规；负责组织实施地方税法和税收条例、决定、规定及有关实施细则；参与研究提出地方性税收立法规划；按照管理权限管理全市地方性税收减免事项。</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（五）管理和监督各项财政收入；监缴国有资产收益；负责组织全市农业税、农业特产税、耕地占用税、契税的征收和管理。</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六）组织执行《行政单位财务规则》和《事业单位财务规则》；制订全市有关财政支出的财务管理制度、开支标准及定额；管理市级各项财政支出，提出优化财政支出结构的政策建议；管理全市行政事业单位和社会团体的非贸易外汇支出；监管全市政府采购工作。</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（七）拟订和组织执行社会保障资金的财务管理制度；组织实施对全市社会保障资金使用的财政监督；管理市级财政社会保障支出。</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（八）管理全市有关政府性基金和行政事业性收费项目的立项及标准；统一管理市级预算外资金和财政专户；管理国债资金，编制和执行国债资金还本付息计划；拟订彩票管理制度，管理和监督彩票发行。</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（九）组织执行《企业财务通则》；管理、指导和监督全市各类各行业企业的财务工作；负责地方性金融机构的财务监管工作；负责国有资产管理的有关工作。</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（十）管理全市会计工作；贯彻实施会计法令、规章和准则；指导和管理社会审计工作；负责全市会计委派制试点工作。</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（十一）参与研究市利用外资的有关政策；管理外国政府和国际金融机构在本市贷款项目的有关业务。</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（十二）监督全市财税方针政策、法律法规的执行情况，提出加强财政管理的政策建议；组织实施全市财经监督检查工作，查处违反财经纪律的重大案件。</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（十三）制订全市财政科学研究和教育规划；组织和管理全市财政人员业务培训；负责全市财政信息和财政宣传工作。</w:t>
      </w:r>
    </w:p>
    <w:p>
      <w:pPr>
        <w:pStyle w:val="2"/>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32"/>
          <w:szCs w:val="32"/>
        </w:rPr>
        <w:t>　　（十四）承办市政府交办的其他事项。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年度纳入本部门决算汇编的独立核算单位共有</w:t>
      </w:r>
      <w:r>
        <w:rPr>
          <w:rFonts w:hint="eastAsia" w:ascii="仿宋_GB2312" w:hAnsi="仿宋_GB2312" w:eastAsia="仿宋_GB2312" w:cs="仿宋_GB2312"/>
          <w:sz w:val="32"/>
          <w:szCs w:val="32"/>
          <w:lang w:val="en-US" w:eastAsia="zh-CN"/>
        </w:rPr>
        <w:t>5家。分别是景德镇市财政局、景德镇市财政国库支付局、景德镇市财政绩效管理局、景德镇市财会职工中等专业学校、景德镇市政府采购管理处。</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223</w:t>
      </w:r>
      <w:r>
        <w:rPr>
          <w:rFonts w:hint="eastAsia" w:ascii="仿宋" w:hAnsi="仿宋" w:eastAsia="仿宋"/>
          <w:sz w:val="30"/>
          <w:szCs w:val="30"/>
        </w:rPr>
        <w:t>人，其中在职人员</w:t>
      </w:r>
      <w:r>
        <w:rPr>
          <w:rFonts w:hint="eastAsia" w:ascii="仿宋" w:hAnsi="仿宋" w:eastAsia="仿宋"/>
          <w:sz w:val="30"/>
          <w:szCs w:val="30"/>
          <w:lang w:val="en-US" w:eastAsia="zh-CN"/>
        </w:rPr>
        <w:t>149</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73</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1135" cy="3743960"/>
            <wp:effectExtent l="0" t="0" r="5715" b="889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71135" cy="3743960"/>
                    </a:xfrm>
                    <a:prstGeom prst="rect">
                      <a:avLst/>
                    </a:prstGeom>
                    <a:noFill/>
                    <a:ln>
                      <a:noFill/>
                    </a:ln>
                  </pic:spPr>
                </pic:pic>
              </a:graphicData>
            </a:graphic>
          </wp:inline>
        </w:drawing>
      </w: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0500" cy="4800600"/>
            <wp:effectExtent l="0" t="0" r="635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5270500" cy="480060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9865" cy="4022090"/>
            <wp:effectExtent l="0" t="0" r="6985" b="165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tretch>
                      <a:fillRect/>
                    </a:stretch>
                  </pic:blipFill>
                  <pic:spPr>
                    <a:xfrm>
                      <a:off x="0" y="0"/>
                      <a:ext cx="5269865" cy="402209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7119620"/>
            <wp:effectExtent l="0" t="0" r="6350" b="508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5270500" cy="711962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69230" cy="4832985"/>
            <wp:effectExtent l="0" t="0" r="7620" b="571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0"/>
                    <a:stretch>
                      <a:fillRect/>
                    </a:stretch>
                  </pic:blipFill>
                  <pic:spPr>
                    <a:xfrm>
                      <a:off x="0" y="0"/>
                      <a:ext cx="5269230" cy="483298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68595" cy="1692910"/>
            <wp:effectExtent l="0" t="0" r="8255" b="254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791075" cy="2962275"/>
            <wp:effectExtent l="0" t="0" r="9525" b="952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年度收入总计5,031.59万元，其中年初结转和结余</w:t>
      </w:r>
      <w:r>
        <w:rPr>
          <w:rFonts w:hint="eastAsia" w:ascii="仿宋" w:hAnsi="仿宋" w:eastAsia="仿宋"/>
          <w:sz w:val="30"/>
          <w:szCs w:val="30"/>
          <w:lang w:val="en-US" w:eastAsia="zh-CN"/>
        </w:rPr>
        <w:t>375.71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34.58</w:t>
      </w:r>
      <w:r>
        <w:rPr>
          <w:rFonts w:hint="eastAsia" w:ascii="仿宋" w:hAnsi="仿宋" w:eastAsia="仿宋"/>
          <w:sz w:val="30"/>
          <w:szCs w:val="30"/>
        </w:rPr>
        <w:t>万元，增长</w:t>
      </w:r>
      <w:r>
        <w:rPr>
          <w:rFonts w:hint="eastAsia" w:ascii="仿宋" w:hAnsi="仿宋" w:eastAsia="仿宋"/>
          <w:sz w:val="30"/>
          <w:szCs w:val="30"/>
          <w:lang w:val="en-US" w:eastAsia="zh-CN"/>
        </w:rPr>
        <w:t>10.13</w:t>
      </w:r>
      <w:r>
        <w:rPr>
          <w:rFonts w:hint="eastAsia" w:ascii="仿宋" w:hAnsi="仿宋" w:eastAsia="仿宋"/>
          <w:sz w:val="30"/>
          <w:szCs w:val="30"/>
        </w:rPr>
        <w:t xml:space="preserve"> %；本年收入合计4,655.88万元，较201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542.64</w:t>
      </w:r>
      <w:r>
        <w:rPr>
          <w:rFonts w:hint="eastAsia" w:ascii="仿宋" w:hAnsi="仿宋" w:eastAsia="仿宋"/>
          <w:sz w:val="30"/>
          <w:szCs w:val="30"/>
        </w:rPr>
        <w:t>万元，增长</w:t>
      </w:r>
      <w:r>
        <w:rPr>
          <w:rFonts w:hint="eastAsia" w:ascii="仿宋" w:hAnsi="仿宋" w:eastAsia="仿宋"/>
          <w:sz w:val="30"/>
          <w:szCs w:val="30"/>
          <w:lang w:val="en-US" w:eastAsia="zh-CN"/>
        </w:rPr>
        <w:t>13.19</w:t>
      </w:r>
      <w:r>
        <w:rPr>
          <w:rFonts w:hint="eastAsia" w:ascii="仿宋" w:hAnsi="仿宋" w:eastAsia="仿宋"/>
          <w:sz w:val="30"/>
          <w:szCs w:val="30"/>
        </w:rPr>
        <w:t>%。</w:t>
      </w:r>
    </w:p>
    <w:p>
      <w:pPr>
        <w:snapToGrid w:val="0"/>
        <w:spacing w:line="520" w:lineRule="exact"/>
        <w:ind w:firstLine="600" w:firstLineChars="200"/>
        <w:rPr>
          <w:rFonts w:hint="eastAsia" w:ascii="仿宋_GB2312" w:hAnsi="仿宋_GB2312" w:eastAsia="仿宋_GB2312" w:cs="仿宋_GB2312"/>
          <w:sz w:val="32"/>
          <w:szCs w:val="32"/>
          <w:lang w:eastAsia="zh-CN"/>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4,651.34</w:t>
      </w:r>
      <w:r>
        <w:rPr>
          <w:rFonts w:hint="eastAsia" w:ascii="仿宋" w:hAnsi="仿宋" w:eastAsia="仿宋" w:cs="仿宋"/>
          <w:sz w:val="30"/>
          <w:szCs w:val="30"/>
        </w:rPr>
        <w:t>万元占总收入的</w:t>
      </w:r>
      <w:r>
        <w:rPr>
          <w:rFonts w:hint="eastAsia" w:ascii="仿宋" w:hAnsi="仿宋" w:eastAsia="仿宋" w:cs="仿宋"/>
          <w:sz w:val="30"/>
          <w:szCs w:val="30"/>
          <w:lang w:val="en-US" w:eastAsia="zh-CN"/>
        </w:rPr>
        <w:t>99.90</w:t>
      </w:r>
      <w:r>
        <w:rPr>
          <w:rFonts w:hint="eastAsia" w:ascii="仿宋" w:hAnsi="仿宋" w:eastAsia="仿宋" w:cs="仿宋"/>
          <w:sz w:val="30"/>
          <w:szCs w:val="30"/>
        </w:rPr>
        <w:t>%、其他收入</w:t>
      </w:r>
      <w:r>
        <w:rPr>
          <w:rFonts w:hint="eastAsia" w:ascii="仿宋" w:hAnsi="仿宋" w:eastAsia="仿宋" w:cs="仿宋"/>
          <w:sz w:val="30"/>
          <w:szCs w:val="30"/>
          <w:lang w:val="en-US" w:eastAsia="zh-CN"/>
        </w:rPr>
        <w:t>4.55</w:t>
      </w:r>
      <w:r>
        <w:rPr>
          <w:rFonts w:hint="eastAsia" w:ascii="仿宋" w:hAnsi="仿宋" w:eastAsia="仿宋" w:cs="仿宋"/>
          <w:sz w:val="30"/>
          <w:szCs w:val="30"/>
        </w:rPr>
        <w:t>万元占总收入的</w:t>
      </w:r>
      <w:r>
        <w:rPr>
          <w:rFonts w:hint="eastAsia" w:ascii="仿宋" w:hAnsi="仿宋" w:eastAsia="仿宋" w:cs="仿宋"/>
          <w:sz w:val="30"/>
          <w:szCs w:val="30"/>
          <w:lang w:val="en-US" w:eastAsia="zh-CN"/>
        </w:rPr>
        <w:t>0.10</w:t>
      </w:r>
      <w:r>
        <w:rPr>
          <w:rFonts w:hint="eastAsia" w:ascii="仿宋" w:hAnsi="仿宋" w:eastAsia="仿宋" w:cs="仿宋"/>
          <w:sz w:val="30"/>
          <w:szCs w:val="30"/>
        </w:rPr>
        <w:t>%</w:t>
      </w:r>
      <w:r>
        <w:rPr>
          <w:rFonts w:hint="eastAsia" w:ascii="仿宋" w:hAnsi="仿宋" w:eastAsia="仿宋" w:cs="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年度支出总计5,031.59万元，其中本年支出合计4,598.92万元，较201</w:t>
      </w:r>
      <w:r>
        <w:rPr>
          <w:rFonts w:hint="eastAsia" w:ascii="仿宋" w:hAnsi="仿宋" w:eastAsia="仿宋"/>
          <w:sz w:val="30"/>
          <w:szCs w:val="30"/>
          <w:lang w:val="en-US" w:eastAsia="zh-CN"/>
        </w:rPr>
        <w:t>8</w:t>
      </w:r>
      <w:r>
        <w:rPr>
          <w:rFonts w:hint="eastAsia" w:ascii="仿宋" w:hAnsi="仿宋" w:eastAsia="仿宋"/>
          <w:sz w:val="30"/>
          <w:szCs w:val="30"/>
        </w:rPr>
        <w:t>年增加489.57万元，增长</w:t>
      </w:r>
      <w:r>
        <w:rPr>
          <w:rFonts w:hint="eastAsia" w:ascii="仿宋" w:hAnsi="仿宋" w:eastAsia="仿宋"/>
          <w:sz w:val="30"/>
          <w:szCs w:val="30"/>
          <w:lang w:val="en-US" w:eastAsia="zh-CN"/>
        </w:rPr>
        <w:t>11.91</w:t>
      </w:r>
      <w:r>
        <w:rPr>
          <w:rFonts w:hint="eastAsia" w:ascii="仿宋" w:hAnsi="仿宋" w:eastAsia="仿宋"/>
          <w:sz w:val="30"/>
          <w:szCs w:val="30"/>
        </w:rPr>
        <w:t>%；年末结转和结余432.67万元，较201</w:t>
      </w:r>
      <w:r>
        <w:rPr>
          <w:rFonts w:hint="eastAsia" w:ascii="仿宋" w:hAnsi="仿宋" w:eastAsia="仿宋"/>
          <w:sz w:val="30"/>
          <w:szCs w:val="30"/>
          <w:lang w:val="en-US" w:eastAsia="zh-CN"/>
        </w:rPr>
        <w:t>8</w:t>
      </w:r>
      <w:r>
        <w:rPr>
          <w:rFonts w:hint="eastAsia" w:ascii="仿宋" w:hAnsi="仿宋" w:eastAsia="仿宋"/>
          <w:sz w:val="30"/>
          <w:szCs w:val="30"/>
        </w:rPr>
        <w:t>年增加91.06万元，增长</w:t>
      </w:r>
      <w:r>
        <w:rPr>
          <w:rFonts w:hint="eastAsia" w:ascii="仿宋" w:hAnsi="仿宋" w:eastAsia="仿宋"/>
          <w:sz w:val="30"/>
          <w:szCs w:val="30"/>
          <w:lang w:val="en-US" w:eastAsia="zh-CN"/>
        </w:rPr>
        <w:t>26.66</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本年支出的具体构成为：基本支出3,425.87万元，占</w:t>
      </w:r>
      <w:r>
        <w:rPr>
          <w:rFonts w:hint="eastAsia" w:ascii="仿宋" w:hAnsi="仿宋" w:eastAsia="仿宋"/>
          <w:sz w:val="30"/>
          <w:szCs w:val="30"/>
          <w:lang w:val="en-US" w:eastAsia="zh-CN"/>
        </w:rPr>
        <w:t>74.49</w:t>
      </w:r>
      <w:r>
        <w:rPr>
          <w:rFonts w:hint="eastAsia" w:ascii="仿宋" w:hAnsi="仿宋" w:eastAsia="仿宋"/>
          <w:sz w:val="30"/>
          <w:szCs w:val="30"/>
        </w:rPr>
        <w:t>%；项目支出1,173.05万元，占</w:t>
      </w:r>
      <w:r>
        <w:rPr>
          <w:rFonts w:hint="eastAsia" w:ascii="仿宋" w:hAnsi="仿宋" w:eastAsia="仿宋"/>
          <w:sz w:val="30"/>
          <w:szCs w:val="30"/>
          <w:lang w:val="en-US" w:eastAsia="zh-CN"/>
        </w:rPr>
        <w:t>25.51</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年度财政拨款本年支出年初预算数为2,597.99万元，决算数为4,578.65万元，完成年初预算的</w:t>
      </w:r>
      <w:r>
        <w:rPr>
          <w:rFonts w:hint="eastAsia" w:ascii="仿宋" w:hAnsi="仿宋" w:eastAsia="仿宋"/>
          <w:sz w:val="30"/>
          <w:szCs w:val="30"/>
          <w:lang w:val="en-US" w:eastAsia="zh-CN"/>
        </w:rPr>
        <w:t>176.24</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（一）一般公共服务支出年初预算数为2,174.71万元，决算数为4,097.38万元，完成年初预算的</w:t>
      </w:r>
      <w:r>
        <w:rPr>
          <w:rFonts w:hint="eastAsia" w:ascii="仿宋" w:hAnsi="仿宋" w:eastAsia="仿宋"/>
          <w:sz w:val="30"/>
          <w:szCs w:val="30"/>
          <w:lang w:val="en-US" w:eastAsia="zh-CN"/>
        </w:rPr>
        <w:t>188.41</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教育</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16.84</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203.39</w:t>
      </w:r>
      <w:r>
        <w:rPr>
          <w:rFonts w:hint="eastAsia" w:ascii="仿宋" w:hAnsi="仿宋" w:eastAsia="仿宋"/>
          <w:sz w:val="30"/>
          <w:szCs w:val="30"/>
        </w:rPr>
        <w:t>万元，决算数为</w:t>
      </w:r>
      <w:r>
        <w:rPr>
          <w:rFonts w:hint="eastAsia" w:ascii="仿宋" w:hAnsi="仿宋" w:eastAsia="仿宋"/>
          <w:sz w:val="30"/>
          <w:szCs w:val="30"/>
          <w:lang w:val="en-US" w:eastAsia="zh-CN"/>
        </w:rPr>
        <w:t>214.85</w:t>
      </w:r>
      <w:r>
        <w:rPr>
          <w:rFonts w:hint="eastAsia" w:ascii="仿宋" w:hAnsi="仿宋" w:eastAsia="仿宋"/>
          <w:sz w:val="30"/>
          <w:szCs w:val="30"/>
        </w:rPr>
        <w:t>万元，完成年初预算的</w:t>
      </w:r>
      <w:r>
        <w:rPr>
          <w:rFonts w:hint="eastAsia" w:ascii="仿宋" w:hAnsi="仿宋" w:eastAsia="仿宋"/>
          <w:sz w:val="30"/>
          <w:szCs w:val="30"/>
          <w:lang w:val="en-US" w:eastAsia="zh-CN"/>
        </w:rPr>
        <w:t>105.63</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116.52</w:t>
      </w:r>
      <w:r>
        <w:rPr>
          <w:rFonts w:hint="eastAsia" w:ascii="仿宋" w:hAnsi="仿宋" w:eastAsia="仿宋"/>
          <w:sz w:val="30"/>
          <w:szCs w:val="30"/>
        </w:rPr>
        <w:t>万元，决算数为</w:t>
      </w:r>
      <w:r>
        <w:rPr>
          <w:rFonts w:hint="eastAsia" w:ascii="仿宋" w:hAnsi="仿宋" w:eastAsia="仿宋"/>
          <w:sz w:val="30"/>
          <w:szCs w:val="30"/>
          <w:lang w:val="en-US" w:eastAsia="zh-CN"/>
        </w:rPr>
        <w:t>116.52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133.05</w:t>
      </w:r>
      <w:r>
        <w:rPr>
          <w:rFonts w:hint="eastAsia" w:ascii="仿宋" w:hAnsi="仿宋" w:eastAsia="仿宋"/>
          <w:sz w:val="30"/>
          <w:szCs w:val="30"/>
        </w:rPr>
        <w:t>万元，决算数为</w:t>
      </w:r>
      <w:r>
        <w:rPr>
          <w:rFonts w:hint="eastAsia" w:ascii="仿宋" w:hAnsi="仿宋" w:eastAsia="仿宋"/>
          <w:sz w:val="30"/>
          <w:szCs w:val="30"/>
          <w:lang w:val="en-US" w:eastAsia="zh-CN"/>
        </w:rPr>
        <w:t>133.05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w:t>
      </w: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（一）工资福利支出2,750.51万元，较201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40.46</w:t>
      </w:r>
      <w:r>
        <w:rPr>
          <w:rFonts w:hint="eastAsia" w:ascii="仿宋" w:hAnsi="仿宋" w:eastAsia="仿宋"/>
          <w:sz w:val="30"/>
          <w:szCs w:val="30"/>
        </w:rPr>
        <w:t xml:space="preserve">  万元，增长</w:t>
      </w:r>
      <w:r>
        <w:rPr>
          <w:rFonts w:hint="eastAsia" w:ascii="仿宋" w:hAnsi="仿宋" w:eastAsia="仿宋"/>
          <w:sz w:val="30"/>
          <w:szCs w:val="30"/>
          <w:lang w:val="en-US" w:eastAsia="zh-CN"/>
        </w:rPr>
        <w:t>1.49</w:t>
      </w:r>
      <w:r>
        <w:rPr>
          <w:rFonts w:hint="eastAsia" w:ascii="仿宋" w:hAnsi="仿宋" w:eastAsia="仿宋"/>
          <w:sz w:val="30"/>
          <w:szCs w:val="30"/>
        </w:rPr>
        <w:t>%，主要原因是：</w:t>
      </w:r>
      <w:r>
        <w:rPr>
          <w:rFonts w:hint="eastAsia" w:ascii="仿宋" w:hAnsi="仿宋" w:eastAsia="仿宋"/>
          <w:sz w:val="30"/>
          <w:szCs w:val="30"/>
          <w:lang w:eastAsia="zh-CN"/>
        </w:rPr>
        <w:t>人员晋级晋档</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（二）商品和服务支出1,501.54万元，较201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541.22</w:t>
      </w:r>
      <w:r>
        <w:rPr>
          <w:rFonts w:hint="eastAsia" w:ascii="仿宋" w:hAnsi="仿宋" w:eastAsia="仿宋"/>
          <w:sz w:val="30"/>
          <w:szCs w:val="30"/>
        </w:rPr>
        <w:t>万元，增长</w:t>
      </w:r>
      <w:r>
        <w:rPr>
          <w:rFonts w:hint="eastAsia" w:ascii="仿宋" w:hAnsi="仿宋" w:eastAsia="仿宋"/>
          <w:sz w:val="30"/>
          <w:szCs w:val="30"/>
          <w:lang w:val="en-US" w:eastAsia="zh-CN"/>
        </w:rPr>
        <w:t>56.36</w:t>
      </w:r>
      <w:r>
        <w:rPr>
          <w:rFonts w:hint="eastAsia" w:ascii="仿宋" w:hAnsi="仿宋" w:eastAsia="仿宋"/>
          <w:sz w:val="30"/>
          <w:szCs w:val="30"/>
        </w:rPr>
        <w:t>%，主要原因是：</w:t>
      </w:r>
      <w:r>
        <w:rPr>
          <w:rFonts w:hint="eastAsia" w:ascii="仿宋" w:hAnsi="仿宋" w:eastAsia="仿宋"/>
          <w:sz w:val="30"/>
          <w:szCs w:val="30"/>
          <w:lang w:eastAsia="zh-CN"/>
        </w:rPr>
        <w:t>非税票据印刷费从省财政负担改为市本级承担及房屋维修租赁费等项目增加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（三）对个人和家庭补助支出228.21万元，较201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38.66</w:t>
      </w:r>
      <w:r>
        <w:rPr>
          <w:rFonts w:hint="eastAsia" w:ascii="仿宋" w:hAnsi="仿宋" w:eastAsia="仿宋"/>
          <w:sz w:val="30"/>
          <w:szCs w:val="30"/>
        </w:rPr>
        <w:t>万元，下降</w:t>
      </w:r>
      <w:r>
        <w:rPr>
          <w:rFonts w:hint="eastAsia" w:ascii="仿宋" w:hAnsi="仿宋" w:eastAsia="仿宋"/>
          <w:sz w:val="30"/>
          <w:szCs w:val="30"/>
          <w:lang w:val="en-US" w:eastAsia="zh-CN"/>
        </w:rPr>
        <w:t>14.48</w:t>
      </w:r>
      <w:r>
        <w:rPr>
          <w:rFonts w:hint="eastAsia" w:ascii="仿宋" w:hAnsi="仿宋" w:eastAsia="仿宋"/>
          <w:sz w:val="30"/>
          <w:szCs w:val="30"/>
        </w:rPr>
        <w:t>%，主要原因是：</w:t>
      </w:r>
      <w:r>
        <w:rPr>
          <w:rFonts w:hint="eastAsia" w:ascii="仿宋" w:hAnsi="仿宋" w:eastAsia="仿宋"/>
          <w:sz w:val="30"/>
          <w:szCs w:val="30"/>
          <w:lang w:eastAsia="zh-CN"/>
        </w:rPr>
        <w:t>减少奖励金支出</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（四）资本性支出98.37万元，较201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4.41</w:t>
      </w:r>
      <w:r>
        <w:rPr>
          <w:rFonts w:hint="eastAsia" w:ascii="仿宋" w:hAnsi="仿宋" w:eastAsia="仿宋"/>
          <w:sz w:val="30"/>
          <w:szCs w:val="30"/>
        </w:rPr>
        <w:t>万元，增长</w:t>
      </w:r>
      <w:r>
        <w:rPr>
          <w:rFonts w:hint="eastAsia" w:ascii="仿宋" w:hAnsi="仿宋" w:eastAsia="仿宋"/>
          <w:sz w:val="30"/>
          <w:szCs w:val="30"/>
          <w:lang w:val="en-US" w:eastAsia="zh-CN"/>
        </w:rPr>
        <w:t>4.69</w:t>
      </w:r>
      <w:r>
        <w:rPr>
          <w:rFonts w:hint="eastAsia" w:ascii="仿宋" w:hAnsi="仿宋" w:eastAsia="仿宋"/>
          <w:sz w:val="30"/>
          <w:szCs w:val="30"/>
        </w:rPr>
        <w:t>%，主要原因是：</w:t>
      </w:r>
      <w:r>
        <w:rPr>
          <w:rFonts w:hint="eastAsia" w:ascii="仿宋" w:hAnsi="仿宋" w:eastAsia="仿宋"/>
          <w:sz w:val="30"/>
          <w:szCs w:val="30"/>
          <w:lang w:eastAsia="zh-CN"/>
        </w:rPr>
        <w:t>新购了固定资产</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年度“三公”经费支出年初预算数为</w:t>
      </w:r>
      <w:r>
        <w:rPr>
          <w:rFonts w:hint="eastAsia" w:ascii="仿宋_GB2312" w:hAnsi="宋体" w:eastAsia="仿宋_GB2312" w:cs="仿宋_GB2312"/>
          <w:sz w:val="32"/>
          <w:szCs w:val="32"/>
          <w:lang w:val="en-US" w:eastAsia="zh-CN"/>
        </w:rPr>
        <w:t>47.10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26.01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55.22</w:t>
      </w:r>
      <w:r>
        <w:rPr>
          <w:rFonts w:hint="eastAsia" w:ascii="仿宋_GB2312" w:hAnsi="仿宋_GB2312" w:eastAsia="仿宋_GB2312" w:cs="仿宋_GB2312"/>
          <w:sz w:val="32"/>
          <w:szCs w:val="32"/>
        </w:rPr>
        <w:t>%，决算数较上年</w:t>
      </w:r>
      <w:r>
        <w:rPr>
          <w:rFonts w:hint="eastAsia" w:ascii="仿宋_GB2312" w:hAnsi="仿宋_GB2312" w:eastAsia="仿宋_GB2312" w:cs="仿宋_GB2312"/>
          <w:sz w:val="32"/>
          <w:szCs w:val="32"/>
          <w:lang w:eastAsia="zh-CN"/>
        </w:rPr>
        <w:t>增加4.</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20.74</w:t>
      </w:r>
      <w:r>
        <w:rPr>
          <w:rFonts w:hint="eastAsia" w:ascii="仿宋_GB2312" w:hAnsi="仿宋_GB2312" w:eastAsia="仿宋_GB2312" w:cs="仿宋_GB2312"/>
          <w:sz w:val="32"/>
          <w:szCs w:val="32"/>
        </w:rPr>
        <w:t>%，其中：</w:t>
      </w:r>
    </w:p>
    <w:p>
      <w:pPr>
        <w:numPr>
          <w:ilvl w:val="0"/>
          <w:numId w:val="1"/>
        </w:num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（二）公务接待费支出年初预算数为</w:t>
      </w:r>
      <w:r>
        <w:rPr>
          <w:rFonts w:hint="eastAsia" w:ascii="仿宋_GB2312" w:hAnsi="仿宋_GB2312" w:eastAsia="仿宋_GB2312" w:cs="仿宋_GB2312"/>
          <w:sz w:val="32"/>
          <w:szCs w:val="32"/>
          <w:lang w:val="en-US" w:eastAsia="zh-CN"/>
        </w:rPr>
        <w:t>47.10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26.01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，比去年同期增加4.</w:t>
      </w:r>
      <w:r>
        <w:rPr>
          <w:rFonts w:hint="eastAsia" w:ascii="仿宋_GB2312" w:hAnsi="仿宋_GB2312" w:eastAsia="仿宋_GB2312" w:cs="仿宋_GB2312"/>
          <w:sz w:val="32"/>
          <w:szCs w:val="32"/>
          <w:lang w:val="en-US" w:eastAsia="zh-CN"/>
        </w:rPr>
        <w:t>41万。</w:t>
      </w:r>
    </w:p>
    <w:p>
      <w:pPr>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（三）公务用车运行维护费支出年初预算数为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比去年同期下降</w:t>
      </w:r>
      <w:r>
        <w:rPr>
          <w:rFonts w:hint="eastAsia" w:ascii="仿宋_GB2312" w:hAnsi="仿宋_GB2312" w:eastAsia="仿宋_GB2312" w:cs="仿宋_GB2312"/>
          <w:sz w:val="32"/>
          <w:szCs w:val="32"/>
          <w:lang w:val="en-US" w:eastAsia="zh-CN"/>
        </w:rPr>
        <w:t>0.34万，主要原因是事业单位也进行了公车改革汽车上缴。</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年度机关运行经费支出387.11万元（与部门决算中行政单位和参照公务员法管理事业单位一般公共预算财政拨款基本支出中公用经费之和保持一致），较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rPr>
        <w:t>增加31.13万元，增长</w:t>
      </w:r>
      <w:r>
        <w:rPr>
          <w:rFonts w:hint="eastAsia" w:ascii="仿宋" w:hAnsi="仿宋" w:eastAsia="仿宋"/>
          <w:sz w:val="30"/>
          <w:szCs w:val="30"/>
          <w:lang w:val="en-US" w:eastAsia="zh-CN"/>
        </w:rPr>
        <w:t>8.74</w:t>
      </w:r>
      <w:r>
        <w:rPr>
          <w:rFonts w:hint="eastAsia" w:ascii="仿宋" w:hAnsi="仿宋" w:eastAsia="仿宋"/>
          <w:sz w:val="30"/>
          <w:szCs w:val="30"/>
        </w:rPr>
        <w:t>%，主要原因是：</w:t>
      </w:r>
      <w:r>
        <w:rPr>
          <w:rFonts w:hint="eastAsia" w:ascii="仿宋" w:hAnsi="仿宋" w:eastAsia="仿宋"/>
          <w:sz w:val="30"/>
          <w:szCs w:val="30"/>
          <w:lang w:eastAsia="zh-CN"/>
        </w:rPr>
        <w:t>非税票据印刷费从省财政负担改为市本级承担及房屋维修租赁费等项目增加</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年度政府采购支出总额98.37万元，其中：政府采购货物支出98.37万元、政府采购工程支出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万元。授予中小企业合同金额98.37万元，占政府采购支出总额的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%，其中：授予小微企业合同金额98.37万元，占政府采购支出总额的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13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706</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60.18</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委托业务费</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金财工程</w:t>
      </w:r>
      <w:r>
        <w:rPr>
          <w:rFonts w:hint="eastAsia" w:ascii="仿宋" w:hAnsi="仿宋" w:eastAsia="仿宋" w:cs="仿宋_GB2312"/>
          <w:kern w:val="0"/>
          <w:sz w:val="30"/>
          <w:szCs w:val="30"/>
        </w:rPr>
        <w:t>”等</w:t>
      </w:r>
      <w:r>
        <w:rPr>
          <w:rFonts w:hint="eastAsia" w:ascii="仿宋" w:hAnsi="仿宋" w:eastAsia="仿宋" w:cs="仿宋_GB2312"/>
          <w:kern w:val="0"/>
          <w:sz w:val="30"/>
          <w:szCs w:val="30"/>
          <w:lang w:eastAsia="zh-CN"/>
        </w:rPr>
        <w:t>多</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706</w:t>
      </w:r>
      <w:r>
        <w:rPr>
          <w:rFonts w:hint="eastAsia" w:ascii="仿宋" w:hAnsi="仿宋" w:eastAsia="仿宋" w:cs="仿宋_GB2312"/>
          <w:kern w:val="0"/>
          <w:sz w:val="30"/>
          <w:szCs w:val="30"/>
        </w:rPr>
        <w:t>万元。</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_GB2312" w:eastAsia="仿宋_GB2312"/>
          <w:sz w:val="32"/>
          <w:szCs w:val="32"/>
        </w:rPr>
        <w:t>评审中心负责实施的2019年度“委托劳务经费项目”使用情况进行绩效评价</w:t>
      </w:r>
      <w:r>
        <w:rPr>
          <w:rFonts w:hint="eastAsia" w:ascii="仿宋" w:hAnsi="仿宋" w:eastAsia="仿宋" w:cs="仿宋_GB2312"/>
          <w:kern w:val="0"/>
          <w:sz w:val="30"/>
          <w:szCs w:val="30"/>
          <w:lang w:eastAsia="zh-CN"/>
        </w:rPr>
        <w:t>结果</w:t>
      </w:r>
      <w:r>
        <w:rPr>
          <w:rFonts w:hint="eastAsia" w:ascii="仿宋" w:hAnsi="仿宋" w:eastAsia="仿宋" w:cs="仿宋_GB2312"/>
          <w:kern w:val="0"/>
          <w:sz w:val="30"/>
          <w:szCs w:val="30"/>
        </w:rPr>
        <w:t>。</w:t>
      </w:r>
    </w:p>
    <w:p>
      <w:pPr>
        <w:pStyle w:val="2"/>
        <w:shd w:val="clear" w:color="auto" w:fill="FFFFFF"/>
        <w:spacing w:before="0" w:beforeAutospacing="0" w:after="0" w:afterAutospacing="0" w:line="450" w:lineRule="atLeast"/>
        <w:ind w:firstLine="495"/>
        <w:rPr>
          <w:rFonts w:hint="eastAsia" w:ascii="仿宋_GB2312" w:hAnsi="Times New Roman" w:eastAsia="仿宋_GB2312" w:cs="Times New Roman"/>
          <w:kern w:val="2"/>
          <w:sz w:val="32"/>
          <w:szCs w:val="32"/>
        </w:rPr>
      </w:pPr>
      <w:r>
        <w:rPr>
          <w:rFonts w:hint="eastAsia" w:ascii="仿宋_GB2312" w:eastAsia="仿宋_GB2312"/>
          <w:sz w:val="32"/>
          <w:szCs w:val="32"/>
        </w:rPr>
        <w:t>委托劳务经费项目</w:t>
      </w:r>
      <w:r>
        <w:rPr>
          <w:rFonts w:hint="eastAsia" w:ascii="仿宋" w:hAnsi="仿宋" w:eastAsia="仿宋" w:cs="仿宋_GB2312"/>
          <w:kern w:val="0"/>
          <w:sz w:val="30"/>
          <w:szCs w:val="30"/>
        </w:rPr>
        <w:t>绩效自评综述：根据年初设定的绩效目标，</w:t>
      </w:r>
      <w:r>
        <w:rPr>
          <w:rFonts w:hint="eastAsia" w:ascii="仿宋_GB2312" w:eastAsia="仿宋_GB2312"/>
          <w:sz w:val="32"/>
          <w:szCs w:val="32"/>
        </w:rPr>
        <w:t>项目依照中央、省、市的要求决策，依据充分、目标明确、程序合理，与政策高度相关；项目资金到位及时，资金使用按预算（计划）执行，项目的组织和管理基本有效，项目的产出达到目标，项目效果良好，项目的预期绩效基本实现，项目总体评分为“98分”，评定级别为优。</w:t>
      </w:r>
      <w:r>
        <w:rPr>
          <w:rFonts w:hint="eastAsia" w:ascii="仿宋" w:hAnsi="仿宋" w:eastAsia="仿宋" w:cs="仿宋_GB2312"/>
          <w:kern w:val="0"/>
          <w:sz w:val="30"/>
          <w:szCs w:val="30"/>
        </w:rPr>
        <w:t>项目全年预算数为</w:t>
      </w:r>
      <w:r>
        <w:rPr>
          <w:rFonts w:hint="eastAsia" w:ascii="仿宋" w:hAnsi="仿宋" w:eastAsia="仿宋" w:cs="仿宋_GB2312"/>
          <w:kern w:val="0"/>
          <w:sz w:val="30"/>
          <w:szCs w:val="30"/>
          <w:lang w:val="en-US" w:eastAsia="zh-CN"/>
        </w:rPr>
        <w:t>40.56</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40.56</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r>
        <w:rPr>
          <w:rFonts w:hint="eastAsia" w:ascii="仿宋" w:hAnsi="仿宋" w:eastAsia="仿宋" w:cs="仿宋"/>
          <w:sz w:val="30"/>
          <w:szCs w:val="30"/>
        </w:rPr>
        <w:t>主要产出和效果</w:t>
      </w:r>
      <w:r>
        <w:rPr>
          <w:rFonts w:hint="eastAsia" w:ascii="仿宋" w:hAnsi="仿宋" w:eastAsia="仿宋" w:cs="仿宋"/>
          <w:sz w:val="30"/>
          <w:szCs w:val="30"/>
          <w:lang w:eastAsia="zh-CN"/>
        </w:rPr>
        <w:t>：</w:t>
      </w:r>
      <w:r>
        <w:rPr>
          <w:rFonts w:hint="eastAsia" w:ascii="仿宋_GB2312" w:eastAsia="仿宋_GB2312"/>
          <w:sz w:val="32"/>
          <w:szCs w:val="32"/>
        </w:rPr>
        <w:t>项目2019年度共实施完成22个项目，每个项目均通过预算审核的先评审、后支付的监督机制，配合相关部门做好项目审核与评审，既提高项目资金使用的规范和有效性，使得评审工作稳定健康发展，又保证了项目完成质量良好。</w:t>
      </w:r>
      <w:r>
        <w:rPr>
          <w:rFonts w:hint="eastAsia" w:ascii="仿宋" w:hAnsi="仿宋" w:eastAsia="仿宋" w:cs="仿宋_GB2312"/>
          <w:kern w:val="0"/>
          <w:sz w:val="30"/>
          <w:szCs w:val="30"/>
          <w:lang w:eastAsia="zh-CN"/>
        </w:rPr>
        <w:t>存在问题：</w:t>
      </w:r>
      <w:r>
        <w:rPr>
          <w:rFonts w:hint="eastAsia" w:ascii="仿宋_GB2312" w:hAnsi="Times New Roman" w:eastAsia="仿宋_GB2312" w:cs="Times New Roman"/>
          <w:kern w:val="2"/>
          <w:sz w:val="32"/>
          <w:szCs w:val="32"/>
        </w:rPr>
        <w:t>一</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评审人员紧缺，评审任务重。二</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目前在绩效管理实际工作中，还存在诸多问题和制约因素，其中最突出的就是大家的绩效管理水平不高。</w:t>
      </w:r>
      <w:r>
        <w:rPr>
          <w:rFonts w:hint="eastAsia" w:ascii="仿宋" w:hAnsi="仿宋" w:eastAsia="仿宋" w:cs="仿宋_GB2312"/>
          <w:kern w:val="0"/>
          <w:sz w:val="30"/>
          <w:szCs w:val="30"/>
        </w:rPr>
        <w:t>下一步改进措施：</w:t>
      </w:r>
      <w:r>
        <w:rPr>
          <w:rFonts w:hint="eastAsia" w:ascii="仿宋_GB2312" w:hAnsi="Times New Roman" w:eastAsia="仿宋_GB2312" w:cs="Times New Roman"/>
          <w:kern w:val="2"/>
          <w:sz w:val="32"/>
          <w:szCs w:val="32"/>
        </w:rPr>
        <w:t>一</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进一步加强对项目评审机构的管理，二</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不断完善绩效考评体系建设，增强其科学性和可操作性，三</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强化激励作用，充分利用考评结果。四</w:t>
      </w:r>
      <w:r>
        <w:rPr>
          <w:rFonts w:hint="eastAsia" w:ascii="仿宋_GB2312" w:eastAsia="仿宋_GB2312" w:cs="Times New Roman"/>
          <w:kern w:val="2"/>
          <w:sz w:val="32"/>
          <w:szCs w:val="32"/>
          <w:lang w:eastAsia="zh-CN"/>
        </w:rPr>
        <w:t>、</w:t>
      </w:r>
      <w:r>
        <w:rPr>
          <w:rFonts w:hint="eastAsia" w:ascii="仿宋_GB2312" w:hAnsi="Times New Roman" w:eastAsia="仿宋_GB2312" w:cs="Times New Roman"/>
          <w:kern w:val="2"/>
          <w:sz w:val="32"/>
          <w:szCs w:val="32"/>
        </w:rPr>
        <w:t>加强项目资金的管理，及时拨付项目评审经费。</w:t>
      </w:r>
    </w:p>
    <w:p>
      <w:pPr>
        <w:pStyle w:val="2"/>
        <w:shd w:val="clear" w:color="auto" w:fill="FFFFFF"/>
        <w:spacing w:before="0" w:beforeAutospacing="0" w:after="0" w:afterAutospacing="0" w:line="450" w:lineRule="atLeast"/>
        <w:ind w:firstLine="495"/>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p>
    <w:p>
      <w:pPr>
        <w:rPr>
          <w:rFonts w:hint="eastAsia"/>
        </w:rPr>
      </w:pPr>
    </w:p>
    <w:p>
      <w:pPr>
        <w:spacing w:line="520" w:lineRule="exact"/>
        <w:ind w:firstLine="320" w:firstLineChars="100"/>
        <w:jc w:val="center"/>
        <w:rPr>
          <w:rFonts w:hint="eastAsia" w:ascii="黑体" w:hAnsi="华文中宋" w:eastAsia="黑体" w:cs="宋体"/>
          <w:sz w:val="32"/>
          <w:szCs w:val="32"/>
        </w:rPr>
      </w:pPr>
      <w:r>
        <w:rPr>
          <w:rFonts w:hint="eastAsia" w:ascii="黑体" w:hAnsi="华文中宋" w:eastAsia="黑体" w:cs="宋体"/>
          <w:sz w:val="32"/>
          <w:szCs w:val="32"/>
        </w:rPr>
        <w:t>委托投资评审（委托劳务）经费项目评价表</w:t>
      </w:r>
    </w:p>
    <w:p>
      <w:pPr>
        <w:spacing w:line="520" w:lineRule="exact"/>
        <w:ind w:firstLine="320" w:firstLineChars="100"/>
        <w:jc w:val="center"/>
        <w:rPr>
          <w:rFonts w:hint="eastAsia" w:ascii="宋体" w:hAnsi="宋体" w:cs="宋体"/>
          <w:sz w:val="32"/>
          <w:szCs w:val="32"/>
        </w:rPr>
      </w:pPr>
    </w:p>
    <w:tbl>
      <w:tblPr>
        <w:tblStyle w:val="3"/>
        <w:tblW w:w="9899" w:type="dxa"/>
        <w:jc w:val="center"/>
        <w:tblLayout w:type="fixed"/>
        <w:tblCellMar>
          <w:top w:w="0" w:type="dxa"/>
          <w:left w:w="108" w:type="dxa"/>
          <w:bottom w:w="0" w:type="dxa"/>
          <w:right w:w="108" w:type="dxa"/>
        </w:tblCellMar>
      </w:tblPr>
      <w:tblGrid>
        <w:gridCol w:w="420"/>
        <w:gridCol w:w="420"/>
        <w:gridCol w:w="428"/>
        <w:gridCol w:w="480"/>
        <w:gridCol w:w="835"/>
        <w:gridCol w:w="525"/>
        <w:gridCol w:w="3200"/>
        <w:gridCol w:w="2880"/>
        <w:gridCol w:w="711"/>
      </w:tblGrid>
      <w:tr>
        <w:tblPrEx>
          <w:tblCellMar>
            <w:top w:w="0" w:type="dxa"/>
            <w:left w:w="108" w:type="dxa"/>
            <w:bottom w:w="0" w:type="dxa"/>
            <w:right w:w="108" w:type="dxa"/>
          </w:tblCellMar>
        </w:tblPrEx>
        <w:trPr>
          <w:trHeight w:val="90"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一级指标</w:t>
            </w:r>
          </w:p>
        </w:tc>
        <w:tc>
          <w:tcPr>
            <w:tcW w:w="42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textAlignment w:val="center"/>
              <w:rPr>
                <w:rFonts w:hint="eastAsia" w:ascii="Arial Unicode MS" w:hAnsi="Arial Unicode MS" w:cs="Arial Unicode MS"/>
                <w:b/>
                <w:color w:val="000000"/>
                <w:sz w:val="18"/>
                <w:szCs w:val="18"/>
              </w:rPr>
            </w:pPr>
            <w:r>
              <w:rPr>
                <w:rFonts w:hint="eastAsia" w:ascii="Arial Unicode MS" w:hAnsi="Arial Unicode MS" w:eastAsia="Arial Unicode MS" w:cs="Arial Unicode MS"/>
                <w:b/>
                <w:color w:val="000000"/>
                <w:sz w:val="18"/>
                <w:szCs w:val="18"/>
              </w:rPr>
              <w:t>分值</w:t>
            </w:r>
          </w:p>
        </w:tc>
        <w:tc>
          <w:tcPr>
            <w:tcW w:w="428"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二级指标</w:t>
            </w:r>
          </w:p>
        </w:tc>
        <w:tc>
          <w:tcPr>
            <w:tcW w:w="4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分值</w:t>
            </w: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b/>
                <w:color w:val="000000"/>
                <w:sz w:val="18"/>
                <w:szCs w:val="18"/>
              </w:rPr>
            </w:pPr>
            <w:r>
              <w:rPr>
                <w:rFonts w:hint="eastAsia" w:ascii="Arial Unicode MS" w:hAnsi="Arial Unicode MS" w:eastAsia="Arial Unicode MS" w:cs="Arial Unicode MS"/>
                <w:b/>
                <w:color w:val="000000"/>
                <w:sz w:val="18"/>
                <w:szCs w:val="18"/>
              </w:rPr>
              <w:t>三级</w:t>
            </w:r>
          </w:p>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指标</w:t>
            </w:r>
          </w:p>
        </w:tc>
        <w:tc>
          <w:tcPr>
            <w:tcW w:w="5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分值</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指标解释</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评价标准</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Arial Unicode MS" w:hAnsi="Arial Unicode MS" w:eastAsia="Arial Unicode MS" w:cs="Arial Unicode MS"/>
                <w:b/>
                <w:color w:val="000000"/>
                <w:sz w:val="18"/>
                <w:szCs w:val="18"/>
              </w:rPr>
            </w:pPr>
          </w:p>
          <w:p>
            <w:pPr>
              <w:widowControl/>
              <w:jc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得分</w:t>
            </w:r>
          </w:p>
        </w:tc>
      </w:tr>
      <w:tr>
        <w:tblPrEx>
          <w:tblCellMar>
            <w:top w:w="0" w:type="dxa"/>
            <w:left w:w="108" w:type="dxa"/>
            <w:bottom w:w="0" w:type="dxa"/>
            <w:right w:w="108" w:type="dxa"/>
          </w:tblCellMar>
        </w:tblPrEx>
        <w:trPr>
          <w:trHeight w:val="531" w:hRule="atLeast"/>
          <w:jc w:val="center"/>
        </w:trPr>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项目管理</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cs="Arial Unicode MS"/>
                <w:color w:val="000000"/>
                <w:sz w:val="18"/>
                <w:szCs w:val="18"/>
              </w:rPr>
              <w:t>50</w:t>
            </w:r>
          </w:p>
        </w:tc>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资金到位</w:t>
            </w:r>
          </w:p>
        </w:tc>
        <w:tc>
          <w:tcPr>
            <w:tcW w:w="48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到位率</w:t>
            </w:r>
          </w:p>
        </w:tc>
        <w:tc>
          <w:tcPr>
            <w:tcW w:w="525"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实际到位/计划到位×100%</w:t>
            </w:r>
          </w:p>
        </w:tc>
        <w:tc>
          <w:tcPr>
            <w:tcW w:w="2880" w:type="dxa"/>
            <w:tcBorders>
              <w:top w:val="single" w:color="000000" w:sz="4" w:space="0"/>
              <w:left w:val="single" w:color="000000" w:sz="4" w:space="0"/>
              <w:bottom w:val="single" w:color="000000" w:sz="4" w:space="0"/>
              <w:right w:val="single" w:color="auto"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根据项目实际到位资金占计划的比重计算得分（</w:t>
            </w:r>
            <w:r>
              <w:rPr>
                <w:rFonts w:hint="eastAsia" w:ascii="Arial Unicode MS" w:hAnsi="Arial Unicode MS" w:cs="Arial Unicode MS"/>
                <w:color w:val="000000"/>
                <w:sz w:val="18"/>
                <w:szCs w:val="18"/>
              </w:rPr>
              <w:t>6</w:t>
            </w:r>
            <w:r>
              <w:rPr>
                <w:rFonts w:hint="eastAsia" w:ascii="宋体" w:hAnsi="宋体" w:cs="宋体"/>
                <w:color w:val="000000"/>
                <w:sz w:val="18"/>
                <w:szCs w:val="18"/>
              </w:rPr>
              <w:t>分）</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spacing w:line="72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r>
      <w:tr>
        <w:tblPrEx>
          <w:tblCellMar>
            <w:top w:w="0" w:type="dxa"/>
            <w:left w:w="108" w:type="dxa"/>
            <w:bottom w:w="0" w:type="dxa"/>
            <w:right w:w="108" w:type="dxa"/>
          </w:tblCellMar>
        </w:tblPrEx>
        <w:trPr>
          <w:trHeight w:val="924"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到位</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时效</w:t>
            </w:r>
          </w:p>
        </w:tc>
        <w:tc>
          <w:tcPr>
            <w:tcW w:w="525" w:type="dxa"/>
            <w:tcBorders>
              <w:top w:val="single" w:color="000000" w:sz="4" w:space="0"/>
              <w:left w:val="single" w:color="auto" w:sz="4" w:space="0"/>
              <w:bottom w:val="single" w:color="auto" w:sz="4" w:space="0"/>
              <w:right w:val="single" w:color="000000"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4</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资金是否及时到位；若未及时到位，是否影响项目进度</w:t>
            </w:r>
          </w:p>
        </w:tc>
        <w:tc>
          <w:tcPr>
            <w:tcW w:w="2880" w:type="dxa"/>
            <w:tcBorders>
              <w:top w:val="single" w:color="000000" w:sz="4" w:space="0"/>
              <w:left w:val="single" w:color="000000" w:sz="4" w:space="0"/>
              <w:bottom w:val="single" w:color="auto" w:sz="4" w:space="0"/>
              <w:right w:val="single" w:color="auto"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及时到位</w:t>
            </w:r>
            <w:r>
              <w:rPr>
                <w:rFonts w:hint="eastAsia" w:ascii="Arial Unicode MS" w:hAnsi="Arial Unicode MS" w:cs="Arial Unicode MS"/>
                <w:color w:val="000000"/>
                <w:sz w:val="18"/>
                <w:szCs w:val="18"/>
              </w:rPr>
              <w:t>4</w:t>
            </w:r>
            <w:r>
              <w:rPr>
                <w:rFonts w:hint="eastAsia" w:ascii="Arial Unicode MS" w:hAnsi="Arial Unicode MS" w:eastAsia="Arial Unicode MS" w:cs="Arial Unicode MS"/>
                <w:color w:val="000000"/>
                <w:sz w:val="18"/>
                <w:szCs w:val="18"/>
              </w:rPr>
              <w:t>分），未及时到位但未影响项目进度（</w:t>
            </w: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.5分），未及时到位并影响项目进度（0-</w:t>
            </w: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分）。</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Arial Unicode MS" w:hAnsi="Arial Unicode MS" w:cs="Arial Unicode MS"/>
                <w:color w:val="000000"/>
                <w:sz w:val="18"/>
                <w:szCs w:val="18"/>
              </w:rPr>
            </w:pPr>
            <w:r>
              <w:rPr>
                <w:rFonts w:hint="eastAsia" w:ascii="Arial Unicode MS" w:hAnsi="Arial Unicode MS" w:cs="Arial Unicode MS"/>
                <w:color w:val="000000"/>
                <w:sz w:val="18"/>
                <w:szCs w:val="18"/>
              </w:rPr>
              <w:t>4</w:t>
            </w:r>
          </w:p>
        </w:tc>
      </w:tr>
      <w:tr>
        <w:tblPrEx>
          <w:tblCellMar>
            <w:top w:w="0" w:type="dxa"/>
            <w:left w:w="108" w:type="dxa"/>
            <w:bottom w:w="0" w:type="dxa"/>
            <w:right w:w="108" w:type="dxa"/>
          </w:tblCellMar>
        </w:tblPrEx>
        <w:trPr>
          <w:trHeight w:val="54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资金管理</w:t>
            </w:r>
          </w:p>
        </w:tc>
        <w:tc>
          <w:tcPr>
            <w:tcW w:w="48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资金</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使用</w:t>
            </w:r>
          </w:p>
        </w:tc>
        <w:tc>
          <w:tcPr>
            <w:tcW w:w="5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14</w:t>
            </w:r>
          </w:p>
        </w:tc>
        <w:tc>
          <w:tcPr>
            <w:tcW w:w="3200" w:type="dxa"/>
            <w:tcBorders>
              <w:top w:val="single" w:color="000000" w:sz="4" w:space="0"/>
              <w:left w:val="single" w:color="auto" w:sz="4" w:space="0"/>
              <w:bottom w:val="single" w:color="auto"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是否存在支出依据不合规、虚列项目支出的情况；是否存在截留、挤占、挪用项目资金情况；是否存在超标准开支情况</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虚列（套取）扣</w:t>
            </w:r>
            <w:r>
              <w:rPr>
                <w:rFonts w:hint="eastAsia" w:ascii="Arial Unicode MS" w:hAnsi="Arial Unicode MS" w:cs="Arial Unicode MS"/>
                <w:color w:val="000000"/>
                <w:sz w:val="18"/>
                <w:szCs w:val="18"/>
              </w:rPr>
              <w:t>10</w:t>
            </w:r>
            <w:r>
              <w:rPr>
                <w:rFonts w:hint="eastAsia" w:ascii="Arial Unicode MS" w:hAnsi="Arial Unicode MS" w:eastAsia="Arial Unicode MS" w:cs="Arial Unicode MS"/>
                <w:color w:val="000000"/>
                <w:sz w:val="18"/>
                <w:szCs w:val="18"/>
              </w:rPr>
              <w:t>-</w:t>
            </w:r>
            <w:r>
              <w:rPr>
                <w:rFonts w:hint="eastAsia" w:ascii="Arial Unicode MS" w:hAnsi="Arial Unicode MS" w:cs="Arial Unicode MS"/>
                <w:color w:val="000000"/>
                <w:sz w:val="18"/>
                <w:szCs w:val="18"/>
              </w:rPr>
              <w:t>14</w:t>
            </w:r>
            <w:r>
              <w:rPr>
                <w:rFonts w:hint="eastAsia" w:ascii="宋体" w:hAnsi="宋体" w:cs="宋体"/>
                <w:color w:val="000000"/>
                <w:sz w:val="18"/>
                <w:szCs w:val="18"/>
              </w:rPr>
              <w:t>分，支出依据不合规扣</w:t>
            </w:r>
            <w:r>
              <w:rPr>
                <w:rFonts w:hint="eastAsia" w:ascii="Arial Unicode MS" w:hAnsi="Arial Unicode MS" w:cs="Arial Unicode MS"/>
                <w:color w:val="000000"/>
                <w:sz w:val="18"/>
                <w:szCs w:val="18"/>
              </w:rPr>
              <w:t>2</w:t>
            </w:r>
            <w:r>
              <w:rPr>
                <w:rFonts w:hint="eastAsia" w:ascii="宋体" w:hAnsi="宋体" w:cs="宋体"/>
                <w:color w:val="000000"/>
                <w:sz w:val="18"/>
                <w:szCs w:val="18"/>
              </w:rPr>
              <w:t>分，截留、挤占、挪用扣</w:t>
            </w:r>
            <w:r>
              <w:rPr>
                <w:rFonts w:hint="eastAsia" w:ascii="Arial Unicode MS" w:hAnsi="Arial Unicode MS" w:cs="Arial Unicode MS"/>
                <w:color w:val="000000"/>
                <w:sz w:val="18"/>
                <w:szCs w:val="18"/>
              </w:rPr>
              <w:t>6</w:t>
            </w:r>
            <w:r>
              <w:rPr>
                <w:rFonts w:hint="eastAsia" w:ascii="Arial Unicode MS" w:hAnsi="Arial Unicode MS" w:eastAsia="Arial Unicode MS" w:cs="Arial Unicode MS"/>
                <w:color w:val="000000"/>
                <w:sz w:val="18"/>
                <w:szCs w:val="18"/>
              </w:rPr>
              <w:t>-</w:t>
            </w:r>
            <w:r>
              <w:rPr>
                <w:rFonts w:hint="eastAsia" w:ascii="Arial Unicode MS" w:hAnsi="Arial Unicode MS" w:cs="Arial Unicode MS"/>
                <w:color w:val="000000"/>
                <w:sz w:val="18"/>
                <w:szCs w:val="18"/>
              </w:rPr>
              <w:t>12</w:t>
            </w:r>
            <w:r>
              <w:rPr>
                <w:rFonts w:hint="eastAsia" w:ascii="宋体" w:hAnsi="宋体" w:cs="宋体"/>
                <w:color w:val="000000"/>
                <w:sz w:val="18"/>
                <w:szCs w:val="18"/>
              </w:rPr>
              <w:t>分，超标准开支扣</w:t>
            </w:r>
            <w:r>
              <w:rPr>
                <w:rFonts w:hint="eastAsia" w:ascii="Arial Unicode MS" w:hAnsi="Arial Unicode MS" w:cs="Arial Unicode MS"/>
                <w:color w:val="000000"/>
                <w:sz w:val="18"/>
                <w:szCs w:val="18"/>
              </w:rPr>
              <w:t>5</w:t>
            </w:r>
            <w:r>
              <w:rPr>
                <w:rFonts w:hint="eastAsia" w:ascii="Arial Unicode MS" w:hAnsi="Arial Unicode MS" w:eastAsia="Arial Unicode MS" w:cs="Arial Unicode MS"/>
                <w:color w:val="000000"/>
                <w:sz w:val="18"/>
                <w:szCs w:val="18"/>
              </w:rPr>
              <w:t>-</w:t>
            </w:r>
            <w:r>
              <w:rPr>
                <w:rFonts w:hint="eastAsia" w:ascii="Arial Unicode MS" w:hAnsi="Arial Unicode MS" w:cs="Arial Unicode MS"/>
                <w:color w:val="000000"/>
                <w:sz w:val="18"/>
                <w:szCs w:val="18"/>
              </w:rPr>
              <w:t>9</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pPr>
              <w:widowControl/>
              <w:spacing w:line="72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14</w:t>
            </w:r>
          </w:p>
        </w:tc>
      </w:tr>
      <w:tr>
        <w:tblPrEx>
          <w:tblCellMar>
            <w:top w:w="0" w:type="dxa"/>
            <w:left w:w="108" w:type="dxa"/>
            <w:bottom w:w="0" w:type="dxa"/>
            <w:right w:w="108" w:type="dxa"/>
          </w:tblCellMar>
        </w:tblPrEx>
        <w:trPr>
          <w:trHeight w:val="84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财务</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管理</w:t>
            </w:r>
          </w:p>
        </w:tc>
        <w:tc>
          <w:tcPr>
            <w:tcW w:w="525" w:type="dxa"/>
            <w:tcBorders>
              <w:top w:val="single" w:color="auto" w:sz="4" w:space="0"/>
              <w:left w:val="single" w:color="auto" w:sz="4" w:space="0"/>
              <w:bottom w:val="single" w:color="auto" w:sz="4" w:space="0"/>
              <w:right w:val="single" w:color="000000"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c>
          <w:tcPr>
            <w:tcW w:w="3200" w:type="dxa"/>
            <w:tcBorders>
              <w:top w:val="single" w:color="auto" w:sz="4" w:space="0"/>
              <w:left w:val="single" w:color="000000" w:sz="4" w:space="0"/>
              <w:bottom w:val="single" w:color="auto" w:sz="4" w:space="0"/>
              <w:right w:val="single" w:color="auto"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资金管理、费用支出等制度是否健全，是否严格执行；会计核算是否规范</w:t>
            </w:r>
          </w:p>
        </w:tc>
        <w:tc>
          <w:tcPr>
            <w:tcW w:w="2880"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财务制度健全（</w:t>
            </w:r>
            <w:r>
              <w:rPr>
                <w:rFonts w:hint="eastAsia" w:ascii="Arial Unicode MS" w:hAnsi="Arial Unicode MS" w:cs="Arial Unicode MS"/>
                <w:color w:val="000000"/>
                <w:sz w:val="18"/>
                <w:szCs w:val="18"/>
              </w:rPr>
              <w:t>2</w:t>
            </w:r>
            <w:r>
              <w:rPr>
                <w:rFonts w:hint="eastAsia" w:ascii="宋体" w:hAnsi="宋体" w:cs="宋体"/>
                <w:color w:val="000000"/>
                <w:sz w:val="18"/>
                <w:szCs w:val="18"/>
              </w:rPr>
              <w:t>分），严格执行制度（</w:t>
            </w:r>
            <w:r>
              <w:rPr>
                <w:rFonts w:hint="eastAsia" w:ascii="Arial Unicode MS" w:hAnsi="Arial Unicode MS" w:cs="Arial Unicode MS"/>
                <w:color w:val="000000"/>
                <w:sz w:val="18"/>
                <w:szCs w:val="18"/>
              </w:rPr>
              <w:t>2</w:t>
            </w:r>
            <w:r>
              <w:rPr>
                <w:rFonts w:hint="eastAsia" w:ascii="宋体" w:hAnsi="宋体" w:cs="宋体"/>
                <w:color w:val="000000"/>
                <w:sz w:val="18"/>
                <w:szCs w:val="18"/>
              </w:rPr>
              <w:t>分），会计核算规范（</w:t>
            </w:r>
            <w:r>
              <w:rPr>
                <w:rFonts w:hint="eastAsia" w:ascii="Arial Unicode MS" w:hAnsi="Arial Unicode MS" w:cs="Arial Unicode MS"/>
                <w:color w:val="000000"/>
                <w:sz w:val="18"/>
                <w:szCs w:val="18"/>
              </w:rPr>
              <w:t>2</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pPr>
              <w:widowControl/>
              <w:spacing w:line="720" w:lineRule="auto"/>
              <w:jc w:val="center"/>
              <w:rPr>
                <w:rFonts w:ascii="Arial Unicode MS" w:hAnsi="Arial Unicode MS" w:cs="Arial Unicode MS"/>
                <w:color w:val="000000"/>
                <w:sz w:val="18"/>
                <w:szCs w:val="18"/>
              </w:rPr>
            </w:pPr>
            <w:r>
              <w:rPr>
                <w:rFonts w:hint="eastAsia" w:ascii="Arial Unicode MS" w:hAnsi="Arial Unicode MS" w:cs="Arial Unicode MS"/>
                <w:color w:val="000000"/>
                <w:sz w:val="18"/>
                <w:szCs w:val="18"/>
              </w:rPr>
              <w:t>6</w:t>
            </w:r>
          </w:p>
        </w:tc>
      </w:tr>
      <w:tr>
        <w:tblPrEx>
          <w:tblCellMar>
            <w:top w:w="0" w:type="dxa"/>
            <w:left w:w="108" w:type="dxa"/>
            <w:bottom w:w="0" w:type="dxa"/>
            <w:right w:w="108" w:type="dxa"/>
          </w:tblCellMar>
        </w:tblPrEx>
        <w:trPr>
          <w:trHeight w:val="45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组织实施</w:t>
            </w:r>
          </w:p>
        </w:tc>
        <w:tc>
          <w:tcPr>
            <w:tcW w:w="480"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cs="Arial Unicode MS"/>
                <w:color w:val="000000"/>
                <w:sz w:val="18"/>
                <w:szCs w:val="18"/>
              </w:rPr>
              <w:t>2</w:t>
            </w:r>
            <w:r>
              <w:rPr>
                <w:rFonts w:hint="eastAsia" w:ascii="Arial Unicode MS" w:hAnsi="Arial Unicode MS" w:eastAsia="Arial Unicode MS" w:cs="Arial Unicode MS"/>
                <w:color w:val="000000"/>
                <w:sz w:val="18"/>
                <w:szCs w:val="18"/>
              </w:rPr>
              <w:t>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组织</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机构</w:t>
            </w:r>
          </w:p>
        </w:tc>
        <w:tc>
          <w:tcPr>
            <w:tcW w:w="525" w:type="dxa"/>
            <w:tcBorders>
              <w:top w:val="single" w:color="auto" w:sz="4" w:space="0"/>
              <w:left w:val="single" w:color="auto" w:sz="4" w:space="0"/>
              <w:bottom w:val="single" w:color="auto" w:sz="4" w:space="0"/>
              <w:right w:val="single" w:color="000000"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5</w:t>
            </w:r>
          </w:p>
        </w:tc>
        <w:tc>
          <w:tcPr>
            <w:tcW w:w="3200"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机构是否健全、分工是否明确</w:t>
            </w:r>
          </w:p>
        </w:tc>
        <w:tc>
          <w:tcPr>
            <w:tcW w:w="2880" w:type="dxa"/>
            <w:tcBorders>
              <w:top w:val="single" w:color="000000" w:sz="4" w:space="0"/>
              <w:left w:val="single" w:color="000000" w:sz="4" w:space="0"/>
              <w:bottom w:val="single" w:color="auto"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机构健全、分工明确（</w:t>
            </w:r>
            <w:r>
              <w:rPr>
                <w:rFonts w:hint="eastAsia" w:ascii="Arial Unicode MS" w:hAnsi="Arial Unicode MS" w:cs="Arial Unicode MS"/>
                <w:color w:val="000000"/>
                <w:sz w:val="18"/>
                <w:szCs w:val="18"/>
              </w:rPr>
              <w:t>5</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pPr>
              <w:widowControl/>
              <w:spacing w:line="36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5</w:t>
            </w:r>
          </w:p>
        </w:tc>
      </w:tr>
      <w:tr>
        <w:tblPrEx>
          <w:tblCellMar>
            <w:top w:w="0" w:type="dxa"/>
            <w:left w:w="108" w:type="dxa"/>
            <w:bottom w:w="0" w:type="dxa"/>
            <w:right w:w="108" w:type="dxa"/>
          </w:tblCellMar>
        </w:tblPrEx>
        <w:trPr>
          <w:trHeight w:val="690" w:hRule="atLeast"/>
          <w:jc w:val="center"/>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管理</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制度</w:t>
            </w:r>
          </w:p>
        </w:tc>
        <w:tc>
          <w:tcPr>
            <w:tcW w:w="5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15</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是否建立健全项目管理制度；是否严格执行相关项目管理制度</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建立健全项目管理制度（</w:t>
            </w:r>
            <w:r>
              <w:rPr>
                <w:rFonts w:hint="eastAsia" w:ascii="Arial Unicode MS" w:hAnsi="Arial Unicode MS" w:cs="Arial Unicode MS"/>
                <w:color w:val="000000"/>
                <w:sz w:val="18"/>
                <w:szCs w:val="18"/>
              </w:rPr>
              <w:t>5</w:t>
            </w:r>
            <w:r>
              <w:rPr>
                <w:rFonts w:hint="eastAsia" w:ascii="宋体" w:hAnsi="宋体" w:cs="宋体"/>
                <w:color w:val="000000"/>
                <w:sz w:val="18"/>
                <w:szCs w:val="18"/>
              </w:rPr>
              <w:t>分）；严格执行相关项目管理制度（</w:t>
            </w:r>
            <w:r>
              <w:rPr>
                <w:rFonts w:hint="eastAsia" w:ascii="Arial Unicode MS" w:hAnsi="Arial Unicode MS" w:cs="Arial Unicode MS"/>
                <w:color w:val="000000"/>
                <w:sz w:val="18"/>
                <w:szCs w:val="18"/>
              </w:rPr>
              <w:t>10</w:t>
            </w:r>
            <w:r>
              <w:rPr>
                <w:rFonts w:hint="eastAsia" w:ascii="宋体" w:hAnsi="宋体" w:cs="宋体"/>
                <w:color w:val="000000"/>
                <w:sz w:val="18"/>
                <w:szCs w:val="18"/>
              </w:rPr>
              <w:t>分）</w:t>
            </w:r>
          </w:p>
        </w:tc>
        <w:tc>
          <w:tcPr>
            <w:tcW w:w="711" w:type="dxa"/>
            <w:tcBorders>
              <w:top w:val="single" w:color="auto" w:sz="4" w:space="0"/>
              <w:bottom w:val="single" w:color="auto" w:sz="4" w:space="0"/>
              <w:right w:val="single" w:color="auto" w:sz="4" w:space="0"/>
            </w:tcBorders>
            <w:noWrap w:val="0"/>
            <w:vAlign w:val="center"/>
          </w:tcPr>
          <w:p>
            <w:pPr>
              <w:widowControl/>
              <w:spacing w:line="48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13</w:t>
            </w:r>
          </w:p>
        </w:tc>
      </w:tr>
      <w:tr>
        <w:tblPrEx>
          <w:tblCellMar>
            <w:top w:w="0" w:type="dxa"/>
            <w:left w:w="108" w:type="dxa"/>
            <w:bottom w:w="0" w:type="dxa"/>
            <w:right w:w="108" w:type="dxa"/>
          </w:tblCellMar>
        </w:tblPrEx>
        <w:trPr>
          <w:trHeight w:val="690" w:hRule="atLeast"/>
          <w:jc w:val="center"/>
        </w:trPr>
        <w:tc>
          <w:tcPr>
            <w:tcW w:w="420" w:type="dxa"/>
            <w:vMerge w:val="restart"/>
            <w:tcBorders>
              <w:top w:val="single" w:color="auto" w:sz="4" w:space="0"/>
              <w:left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项目绩效</w:t>
            </w:r>
          </w:p>
        </w:tc>
        <w:tc>
          <w:tcPr>
            <w:tcW w:w="420" w:type="dxa"/>
            <w:vMerge w:val="restart"/>
            <w:tcBorders>
              <w:top w:val="single" w:color="auto" w:sz="4" w:space="0"/>
              <w:left w:val="single" w:color="auto" w:sz="4" w:space="0"/>
              <w:right w:val="single" w:color="auto" w:sz="4" w:space="0"/>
            </w:tcBorders>
            <w:noWrap w:val="0"/>
            <w:vAlign w:val="center"/>
          </w:tcPr>
          <w:p>
            <w:pPr>
              <w:spacing w:line="320" w:lineRule="exact"/>
              <w:rPr>
                <w:rFonts w:hint="eastAsia" w:ascii="Arial Unicode MS" w:hAnsi="Arial Unicode MS" w:cs="Arial Unicode MS"/>
                <w:sz w:val="18"/>
                <w:szCs w:val="18"/>
              </w:rPr>
            </w:pPr>
            <w:r>
              <w:rPr>
                <w:rFonts w:hint="eastAsia" w:ascii="Arial Unicode MS" w:hAnsi="Arial Unicode MS" w:eastAsia="Arial Unicode MS" w:cs="Arial Unicode MS"/>
                <w:color w:val="000000"/>
                <w:sz w:val="18"/>
                <w:szCs w:val="18"/>
              </w:rPr>
              <w:t>5</w:t>
            </w:r>
            <w:r>
              <w:rPr>
                <w:rFonts w:hint="eastAsia" w:ascii="Arial Unicode MS" w:hAnsi="Arial Unicode MS" w:cs="Arial Unicode MS"/>
                <w:color w:val="000000"/>
                <w:sz w:val="18"/>
                <w:szCs w:val="18"/>
              </w:rPr>
              <w:t>0</w:t>
            </w:r>
          </w:p>
        </w:tc>
        <w:tc>
          <w:tcPr>
            <w:tcW w:w="428" w:type="dxa"/>
            <w:vMerge w:val="restart"/>
            <w:tcBorders>
              <w:top w:val="single" w:color="auto" w:sz="4" w:space="0"/>
              <w:left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项目效果</w:t>
            </w:r>
          </w:p>
        </w:tc>
        <w:tc>
          <w:tcPr>
            <w:tcW w:w="480" w:type="dxa"/>
            <w:vMerge w:val="restart"/>
            <w:tcBorders>
              <w:top w:val="single" w:color="auto" w:sz="4" w:space="0"/>
              <w:left w:val="single" w:color="auto" w:sz="4" w:space="0"/>
              <w:right w:val="single" w:color="auto" w:sz="4" w:space="0"/>
            </w:tcBorders>
            <w:noWrap w:val="0"/>
            <w:vAlign w:val="center"/>
          </w:tcPr>
          <w:p>
            <w:pPr>
              <w:spacing w:line="320" w:lineRule="exact"/>
              <w:rPr>
                <w:rFonts w:hint="eastAsia" w:ascii="Arial Unicode MS" w:hAnsi="Arial Unicode MS" w:cs="Arial Unicode MS"/>
                <w:sz w:val="18"/>
                <w:szCs w:val="18"/>
              </w:rPr>
            </w:pPr>
            <w:r>
              <w:rPr>
                <w:rFonts w:hint="eastAsia" w:ascii="Arial Unicode MS" w:hAnsi="Arial Unicode MS" w:cs="Arial Unicode MS"/>
                <w:color w:val="000000"/>
                <w:sz w:val="18"/>
                <w:szCs w:val="18"/>
              </w:rPr>
              <w:t>50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经济</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效益</w:t>
            </w:r>
          </w:p>
        </w:tc>
        <w:tc>
          <w:tcPr>
            <w:tcW w:w="5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项目实施是否产生直接或间接经济效益</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对照绩效目标评价经济效益（按优</w:t>
            </w:r>
            <w:r>
              <w:rPr>
                <w:rFonts w:hint="eastAsia" w:ascii="Arial Unicode MS" w:hAnsi="Arial Unicode MS" w:cs="Arial Unicode MS"/>
                <w:color w:val="000000"/>
                <w:sz w:val="18"/>
                <w:szCs w:val="18"/>
              </w:rPr>
              <w:t>25</w:t>
            </w:r>
            <w:r>
              <w:rPr>
                <w:rFonts w:hint="eastAsia" w:ascii="宋体" w:hAnsi="宋体" w:cs="宋体"/>
                <w:color w:val="000000"/>
                <w:sz w:val="18"/>
                <w:szCs w:val="18"/>
              </w:rPr>
              <w:t>分、良</w:t>
            </w:r>
            <w:r>
              <w:rPr>
                <w:rFonts w:hint="eastAsia" w:ascii="Arial Unicode MS" w:hAnsi="Arial Unicode MS" w:cs="Arial Unicode MS"/>
                <w:color w:val="000000"/>
                <w:sz w:val="18"/>
                <w:szCs w:val="18"/>
              </w:rPr>
              <w:t>15</w:t>
            </w:r>
            <w:r>
              <w:rPr>
                <w:rFonts w:hint="eastAsia" w:ascii="宋体" w:hAnsi="宋体" w:cs="宋体"/>
                <w:color w:val="000000"/>
                <w:sz w:val="18"/>
                <w:szCs w:val="18"/>
              </w:rPr>
              <w:t>分、中</w:t>
            </w:r>
            <w:r>
              <w:rPr>
                <w:rFonts w:hint="eastAsia" w:ascii="Arial Unicode MS" w:hAnsi="Arial Unicode MS" w:cs="Arial Unicode MS"/>
                <w:color w:val="000000"/>
                <w:sz w:val="18"/>
                <w:szCs w:val="18"/>
              </w:rPr>
              <w:t>5</w:t>
            </w:r>
            <w:r>
              <w:rPr>
                <w:rFonts w:hint="eastAsia" w:ascii="宋体" w:hAnsi="宋体" w:cs="宋体"/>
                <w:color w:val="000000"/>
                <w:sz w:val="18"/>
                <w:szCs w:val="18"/>
              </w:rPr>
              <w:t>分、差</w:t>
            </w:r>
            <w:r>
              <w:rPr>
                <w:rFonts w:hint="eastAsia" w:ascii="Arial Unicode MS" w:hAnsi="Arial Unicode MS" w:eastAsia="Arial Unicode MS" w:cs="Arial Unicode MS"/>
                <w:color w:val="000000"/>
                <w:sz w:val="18"/>
                <w:szCs w:val="18"/>
              </w:rPr>
              <w:t>0</w:t>
            </w:r>
            <w:r>
              <w:rPr>
                <w:rFonts w:hint="eastAsia" w:ascii="宋体" w:hAnsi="宋体" w:cs="宋体"/>
                <w:color w:val="000000"/>
                <w:sz w:val="18"/>
                <w:szCs w:val="18"/>
              </w:rPr>
              <w:t>分进行评分）</w:t>
            </w:r>
          </w:p>
        </w:tc>
        <w:tc>
          <w:tcPr>
            <w:tcW w:w="711" w:type="dxa"/>
            <w:tcBorders>
              <w:top w:val="single" w:color="auto" w:sz="4" w:space="0"/>
              <w:bottom w:val="single" w:color="auto" w:sz="4" w:space="0"/>
              <w:right w:val="single" w:color="auto" w:sz="4" w:space="0"/>
            </w:tcBorders>
            <w:noWrap w:val="0"/>
            <w:vAlign w:val="center"/>
          </w:tcPr>
          <w:p>
            <w:pPr>
              <w:widowControl/>
              <w:spacing w:line="48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r>
      <w:tr>
        <w:tblPrEx>
          <w:tblCellMar>
            <w:top w:w="0" w:type="dxa"/>
            <w:left w:w="108" w:type="dxa"/>
            <w:bottom w:w="0" w:type="dxa"/>
            <w:right w:w="108" w:type="dxa"/>
          </w:tblCellMar>
        </w:tblPrEx>
        <w:trPr>
          <w:trHeight w:val="690" w:hRule="atLeast"/>
          <w:jc w:val="center"/>
        </w:trPr>
        <w:tc>
          <w:tcPr>
            <w:tcW w:w="420" w:type="dxa"/>
            <w:vMerge w:val="continue"/>
            <w:tcBorders>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0" w:type="dxa"/>
            <w:vMerge w:val="continue"/>
            <w:tcBorders>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28" w:type="dxa"/>
            <w:vMerge w:val="continue"/>
            <w:tcBorders>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480" w:type="dxa"/>
            <w:vMerge w:val="continue"/>
            <w:tcBorders>
              <w:left w:val="single" w:color="auto" w:sz="4" w:space="0"/>
              <w:bottom w:val="single" w:color="auto" w:sz="4" w:space="0"/>
              <w:right w:val="single" w:color="auto" w:sz="4" w:space="0"/>
            </w:tcBorders>
            <w:noWrap w:val="0"/>
            <w:vAlign w:val="center"/>
          </w:tcPr>
          <w:p>
            <w:pPr>
              <w:spacing w:line="320" w:lineRule="exact"/>
              <w:rPr>
                <w:rFonts w:hint="eastAsia" w:ascii="Arial Unicode MS" w:hAnsi="Arial Unicode MS" w:eastAsia="Arial Unicode MS" w:cs="Arial Unicode MS"/>
                <w:sz w:val="18"/>
                <w:szCs w:val="18"/>
              </w:rPr>
            </w:pP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cs="Arial Unicode MS"/>
                <w:color w:val="000000"/>
                <w:sz w:val="18"/>
                <w:szCs w:val="18"/>
              </w:rPr>
            </w:pPr>
            <w:r>
              <w:rPr>
                <w:rFonts w:hint="eastAsia" w:ascii="Arial Unicode MS" w:hAnsi="Arial Unicode MS" w:eastAsia="Arial Unicode MS" w:cs="Arial Unicode MS"/>
                <w:color w:val="000000"/>
                <w:sz w:val="18"/>
                <w:szCs w:val="18"/>
              </w:rPr>
              <w:t>服务</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对象</w:t>
            </w:r>
          </w:p>
          <w:p>
            <w:pPr>
              <w:autoSpaceDN w:val="0"/>
              <w:spacing w:line="320" w:lineRule="exact"/>
              <w:jc w:val="center"/>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满意度</w:t>
            </w:r>
          </w:p>
        </w:tc>
        <w:tc>
          <w:tcPr>
            <w:tcW w:w="5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left"/>
              <w:textAlignment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项目预期服务对象对项目实施的满意程度</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color w:val="000000"/>
                <w:sz w:val="18"/>
                <w:szCs w:val="18"/>
              </w:rPr>
            </w:pPr>
            <w:r>
              <w:rPr>
                <w:rFonts w:hint="eastAsia" w:ascii="宋体" w:hAnsi="宋体" w:cs="宋体"/>
                <w:color w:val="000000"/>
                <w:sz w:val="18"/>
                <w:szCs w:val="18"/>
              </w:rPr>
              <w:t>对照绩效目标评价服务对象满意度（按优</w:t>
            </w:r>
            <w:r>
              <w:rPr>
                <w:rFonts w:hint="eastAsia" w:ascii="Arial Unicode MS" w:hAnsi="Arial Unicode MS" w:cs="Arial Unicode MS"/>
                <w:color w:val="000000"/>
                <w:sz w:val="18"/>
                <w:szCs w:val="18"/>
              </w:rPr>
              <w:t>25</w:t>
            </w:r>
            <w:r>
              <w:rPr>
                <w:rFonts w:hint="eastAsia" w:ascii="宋体" w:hAnsi="宋体" w:cs="宋体"/>
                <w:color w:val="000000"/>
                <w:sz w:val="18"/>
                <w:szCs w:val="18"/>
              </w:rPr>
              <w:t>分、良1</w:t>
            </w:r>
            <w:r>
              <w:rPr>
                <w:rFonts w:hint="eastAsia" w:ascii="Arial Unicode MS" w:hAnsi="Arial Unicode MS" w:eastAsia="Arial Unicode MS" w:cs="Arial Unicode MS"/>
                <w:color w:val="000000"/>
                <w:sz w:val="18"/>
                <w:szCs w:val="18"/>
              </w:rPr>
              <w:t>5</w:t>
            </w:r>
            <w:r>
              <w:rPr>
                <w:rFonts w:hint="eastAsia" w:ascii="宋体" w:hAnsi="宋体" w:cs="宋体"/>
                <w:color w:val="000000"/>
                <w:sz w:val="18"/>
                <w:szCs w:val="18"/>
              </w:rPr>
              <w:t>分、中</w:t>
            </w:r>
            <w:r>
              <w:rPr>
                <w:rFonts w:hint="eastAsia" w:ascii="Arial Unicode MS" w:hAnsi="Arial Unicode MS" w:cs="Arial Unicode MS"/>
                <w:color w:val="000000"/>
                <w:sz w:val="18"/>
                <w:szCs w:val="18"/>
              </w:rPr>
              <w:t>5</w:t>
            </w:r>
            <w:r>
              <w:rPr>
                <w:rFonts w:hint="eastAsia" w:ascii="宋体" w:hAnsi="宋体" w:cs="宋体"/>
                <w:color w:val="000000"/>
                <w:sz w:val="18"/>
                <w:szCs w:val="18"/>
              </w:rPr>
              <w:t>分、差</w:t>
            </w:r>
            <w:r>
              <w:rPr>
                <w:rFonts w:hint="eastAsia" w:ascii="Arial Unicode MS" w:hAnsi="Arial Unicode MS" w:eastAsia="Arial Unicode MS" w:cs="Arial Unicode MS"/>
                <w:color w:val="000000"/>
                <w:sz w:val="18"/>
                <w:szCs w:val="18"/>
              </w:rPr>
              <w:t>0</w:t>
            </w:r>
            <w:r>
              <w:rPr>
                <w:rFonts w:hint="eastAsia" w:ascii="宋体" w:hAnsi="宋体" w:cs="宋体"/>
                <w:color w:val="000000"/>
                <w:sz w:val="18"/>
                <w:szCs w:val="18"/>
              </w:rPr>
              <w:t>分进行评分）</w:t>
            </w:r>
          </w:p>
        </w:tc>
        <w:tc>
          <w:tcPr>
            <w:tcW w:w="711" w:type="dxa"/>
            <w:tcBorders>
              <w:top w:val="single" w:color="auto" w:sz="4" w:space="0"/>
              <w:bottom w:val="single" w:color="auto" w:sz="4" w:space="0"/>
              <w:right w:val="single" w:color="auto" w:sz="4" w:space="0"/>
            </w:tcBorders>
            <w:noWrap w:val="0"/>
            <w:vAlign w:val="center"/>
          </w:tcPr>
          <w:p>
            <w:pPr>
              <w:widowControl/>
              <w:spacing w:line="600" w:lineRule="auto"/>
              <w:jc w:val="center"/>
              <w:rPr>
                <w:rFonts w:hint="eastAsia" w:ascii="Arial Unicode MS" w:hAnsi="Arial Unicode MS" w:cs="Arial Unicode MS"/>
                <w:color w:val="000000"/>
                <w:sz w:val="18"/>
                <w:szCs w:val="18"/>
              </w:rPr>
            </w:pPr>
            <w:r>
              <w:rPr>
                <w:rFonts w:hint="eastAsia" w:ascii="Arial Unicode MS" w:hAnsi="Arial Unicode MS" w:cs="Arial Unicode MS"/>
                <w:color w:val="000000"/>
                <w:sz w:val="18"/>
                <w:szCs w:val="18"/>
              </w:rPr>
              <w:t>25</w:t>
            </w:r>
          </w:p>
        </w:tc>
      </w:tr>
      <w:tr>
        <w:tblPrEx>
          <w:tblCellMar>
            <w:top w:w="0" w:type="dxa"/>
            <w:left w:w="108" w:type="dxa"/>
            <w:bottom w:w="0" w:type="dxa"/>
            <w:right w:w="108" w:type="dxa"/>
          </w:tblCellMar>
        </w:tblPrEx>
        <w:trPr>
          <w:trHeight w:val="873"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总分</w:t>
            </w:r>
          </w:p>
        </w:tc>
        <w:tc>
          <w:tcPr>
            <w:tcW w:w="42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100</w:t>
            </w:r>
          </w:p>
        </w:tc>
        <w:tc>
          <w:tcPr>
            <w:tcW w:w="428"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100</w:t>
            </w:r>
          </w:p>
        </w:tc>
        <w:tc>
          <w:tcPr>
            <w:tcW w:w="83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Arial Unicode MS" w:hAnsi="Arial Unicode MS" w:eastAsia="Arial Unicode MS" w:cs="Arial Unicode MS"/>
                <w:b/>
                <w:color w:val="000000"/>
                <w:sz w:val="18"/>
                <w:szCs w:val="18"/>
              </w:rPr>
            </w:pPr>
            <w:r>
              <w:rPr>
                <w:rFonts w:hint="eastAsia" w:ascii="Arial Unicode MS" w:hAnsi="Arial Unicode MS" w:eastAsia="Arial Unicode MS" w:cs="Arial Unicode MS"/>
                <w:b/>
                <w:color w:val="000000"/>
                <w:sz w:val="18"/>
                <w:szCs w:val="18"/>
              </w:rPr>
              <w:t>100</w:t>
            </w:r>
          </w:p>
        </w:tc>
        <w:tc>
          <w:tcPr>
            <w:tcW w:w="3200"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2880" w:type="dxa"/>
            <w:tcBorders>
              <w:top w:val="single" w:color="000000" w:sz="4" w:space="0"/>
              <w:left w:val="single" w:color="000000" w:sz="4" w:space="0"/>
              <w:bottom w:val="single" w:color="auto" w:sz="4" w:space="0"/>
              <w:right w:val="single" w:color="000000" w:sz="4" w:space="0"/>
            </w:tcBorders>
            <w:noWrap w:val="0"/>
            <w:vAlign w:val="center"/>
          </w:tcPr>
          <w:p>
            <w:pPr>
              <w:autoSpaceDN w:val="0"/>
              <w:spacing w:line="320" w:lineRule="exact"/>
              <w:jc w:val="left"/>
              <w:textAlignment w:val="center"/>
              <w:rPr>
                <w:rFonts w:hint="eastAsia" w:ascii="Arial Unicode MS" w:hAnsi="Arial Unicode MS" w:eastAsia="Arial Unicode MS" w:cs="Arial Unicode MS"/>
                <w:b/>
                <w:color w:val="000000"/>
                <w:sz w:val="18"/>
                <w:szCs w:val="18"/>
              </w:rPr>
            </w:pPr>
          </w:p>
        </w:tc>
        <w:tc>
          <w:tcPr>
            <w:tcW w:w="711" w:type="dxa"/>
            <w:tcBorders>
              <w:top w:val="single" w:color="auto" w:sz="4" w:space="0"/>
              <w:bottom w:val="single" w:color="auto" w:sz="4" w:space="0"/>
              <w:right w:val="single" w:color="auto" w:sz="4" w:space="0"/>
            </w:tcBorders>
            <w:noWrap w:val="0"/>
            <w:vAlign w:val="center"/>
          </w:tcPr>
          <w:p>
            <w:pPr>
              <w:widowControl/>
              <w:spacing w:line="480" w:lineRule="auto"/>
              <w:jc w:val="center"/>
              <w:rPr>
                <w:rFonts w:hint="eastAsia" w:ascii="Arial Unicode MS" w:hAnsi="Arial Unicode MS" w:cs="Arial Unicode MS"/>
                <w:b/>
                <w:color w:val="000000"/>
                <w:sz w:val="18"/>
                <w:szCs w:val="18"/>
              </w:rPr>
            </w:pPr>
            <w:r>
              <w:rPr>
                <w:rFonts w:hint="eastAsia" w:ascii="Arial Unicode MS" w:hAnsi="Arial Unicode MS" w:cs="Arial Unicode MS"/>
                <w:b/>
                <w:color w:val="000000"/>
                <w:sz w:val="18"/>
                <w:szCs w:val="18"/>
              </w:rPr>
              <w:t>98</w:t>
            </w:r>
          </w:p>
        </w:tc>
      </w:tr>
    </w:tbl>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numPr>
          <w:ilvl w:val="0"/>
          <w:numId w:val="2"/>
        </w:numPr>
        <w:ind w:left="60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收入科目 </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 xml:space="preserve">财政拨款：指省级财政当年拨付的资金。 </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事业收入：指事业单位开展专业业务活动及辅助活动 取得的收入。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事业单位经营收入：指事业单位在专业业务活动及辅 助活动之外开展非独立核算经营活动取得的收入。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其他收入：指除财政拨款、事业收入、事业单位经营 收入等以外的各项收入。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附属单位上缴收入：反映事业单位附属的独立核算单 位按规定标准或比例缴纳的各项收入。包括附属的事业单位上缴 的收入和附属的企业上缴的利润等。</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上级补助收入：反映事业单位从主管部门和上级单位 取得的非财政补助收入。</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用事业基金弥补收支差额：填列事业单位用事业基金 弥补 2019 年收支差额的数额。</w:t>
      </w:r>
    </w:p>
    <w:p>
      <w:pPr>
        <w:numPr>
          <w:ilvl w:val="0"/>
          <w:numId w:val="3"/>
        </w:numPr>
        <w:ind w:left="600" w:leftChars="0"/>
        <w:rPr>
          <w:rFonts w:hint="eastAsia" w:ascii="仿宋" w:hAnsi="仿宋" w:eastAsia="仿宋" w:cs="仿宋"/>
          <w:sz w:val="30"/>
          <w:szCs w:val="30"/>
        </w:rPr>
      </w:pPr>
      <w:r>
        <w:rPr>
          <w:rFonts w:hint="eastAsia" w:ascii="仿宋" w:hAnsi="仿宋" w:eastAsia="仿宋" w:cs="仿宋"/>
          <w:sz w:val="30"/>
          <w:szCs w:val="30"/>
        </w:rPr>
        <w:t>上年结转和结余：填列 2018 年全部结转和结余的资 金数，包括当年结转结余资金和历年滚存结转结余资金。</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二、支出科目 </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（一）行政运行：反映行政单位（包括参公单位）的基本支 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（二）一般行政管理事务：反映行政单位（包括参公单位） 未单独设置项级科目的其他项目支出。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（三）机关服务：反映为行政单位（包括参公单位）提供后 勤服务的各类后勤服务中心的支出。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（四）预算改革业务：反映财政部门用于预算改革方面的支 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（五）财政国库业务：反映财政部门用于财政国库集中支出 收付业务方面的支出。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（六）财政监察：反映财政监察派出机构的专项业务支出。 （七）信息化建设：反映财政部门用于“金财工程”等信息 化建设方面的支出。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（八）事业运行：反映事业单位的基本支出。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 xml:space="preserve"> （九）其他财政事务支出：反映除上述项目以外的其他财政 事务方面的支出。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（十）高等职业教育：反映经国家批准设立的高等职业大学、 专科职业教育等方面的支出。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（十一）培训支出：反映各部门安排的用于培训的支出。</w:t>
      </w:r>
    </w:p>
    <w:p>
      <w:pPr>
        <w:numPr>
          <w:ilvl w:val="0"/>
          <w:numId w:val="0"/>
        </w:numPr>
        <w:ind w:left="600" w:leftChars="0"/>
        <w:rPr>
          <w:rFonts w:hint="eastAsia" w:ascii="仿宋" w:hAnsi="仿宋" w:eastAsia="仿宋" w:cs="仿宋"/>
          <w:sz w:val="30"/>
          <w:szCs w:val="30"/>
        </w:rPr>
      </w:pPr>
      <w:r>
        <w:rPr>
          <w:rFonts w:hint="eastAsia" w:ascii="仿宋" w:hAnsi="仿宋" w:eastAsia="仿宋" w:cs="仿宋"/>
          <w:sz w:val="30"/>
          <w:szCs w:val="30"/>
        </w:rPr>
        <w:t>（十二）机关事业单位基本养老保险缴费支出：反映机关事 业单位实施养老保险制度由单位缴纳的基本养老保险费的支出。</w:t>
      </w:r>
    </w:p>
    <w:p>
      <w:pPr>
        <w:ind w:firstLine="630"/>
        <w:jc w:val="left"/>
        <w:rPr>
          <w:rFonts w:ascii="仿宋" w:hAnsi="仿宋" w:eastAsia="仿宋"/>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31D0C"/>
    <w:multiLevelType w:val="singleLevel"/>
    <w:tmpl w:val="3BD31D0C"/>
    <w:lvl w:ilvl="0" w:tentative="0">
      <w:start w:val="1"/>
      <w:numFmt w:val="chineseCounting"/>
      <w:suff w:val="nothing"/>
      <w:lvlText w:val="（%1）"/>
      <w:lvlJc w:val="left"/>
      <w:rPr>
        <w:rFonts w:hint="eastAsia"/>
      </w:rPr>
    </w:lvl>
  </w:abstractNum>
  <w:abstractNum w:abstractNumId="1">
    <w:nsid w:val="587E2974"/>
    <w:multiLevelType w:val="singleLevel"/>
    <w:tmpl w:val="587E2974"/>
    <w:lvl w:ilvl="0" w:tentative="0">
      <w:start w:val="1"/>
      <w:numFmt w:val="chineseCounting"/>
      <w:suff w:val="nothing"/>
      <w:lvlText w:val="（%1）"/>
      <w:lvlJc w:val="left"/>
    </w:lvl>
  </w:abstractNum>
  <w:abstractNum w:abstractNumId="2">
    <w:nsid w:val="64514E10"/>
    <w:multiLevelType w:val="singleLevel"/>
    <w:tmpl w:val="64514E10"/>
    <w:lvl w:ilvl="0" w:tentative="0">
      <w:start w:val="1"/>
      <w:numFmt w:val="chineseCounting"/>
      <w:suff w:val="nothing"/>
      <w:lvlText w:val="%1、"/>
      <w:lvlJc w:val="left"/>
      <w:pPr>
        <w:ind w:left="60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F00EE"/>
    <w:rsid w:val="246374F7"/>
    <w:rsid w:val="36701B14"/>
    <w:rsid w:val="45EF00EE"/>
    <w:rsid w:val="6CAD0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2020-09-29T06:37:00Z</dcterms:created>
  <dc:creator>华佗</dc:creator>
  <cp:lastModifiedBy>DELL</cp:lastModifiedBy>
  <dcterms:modified xsi:type="dcterms:W3CDTF">2020-10-15T01:40:16Z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