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_GB2312" w:hAnsi="黑体" w:eastAsia="仿宋_GB2312"/>
          <w:b/>
          <w:bCs/>
          <w:sz w:val="44"/>
          <w:szCs w:val="36"/>
        </w:rPr>
      </w:pPr>
      <w:r>
        <w:rPr>
          <w:rFonts w:hint="eastAsia" w:ascii="仿宋_GB2312" w:hAnsi="黑体" w:eastAsia="仿宋_GB2312"/>
          <w:b/>
          <w:bCs/>
          <w:sz w:val="44"/>
          <w:szCs w:val="36"/>
        </w:rPr>
        <w:t>景德镇市委市政府接待办</w:t>
      </w:r>
    </w:p>
    <w:p>
      <w:pPr>
        <w:spacing w:line="600" w:lineRule="exact"/>
        <w:jc w:val="center"/>
        <w:rPr>
          <w:rFonts w:ascii="仿宋_GB2312" w:eastAsia="仿宋_GB2312"/>
          <w:b/>
          <w:bCs/>
          <w:sz w:val="44"/>
          <w:szCs w:val="36"/>
        </w:rPr>
      </w:pPr>
      <w:r>
        <w:rPr>
          <w:rFonts w:hint="eastAsia" w:ascii="仿宋_GB2312" w:eastAsia="仿宋_GB2312"/>
          <w:b/>
          <w:bCs/>
          <w:sz w:val="44"/>
          <w:szCs w:val="36"/>
        </w:rPr>
        <w:t>2019年度部门决算</w:t>
      </w:r>
    </w:p>
    <w:p>
      <w:pPr>
        <w:spacing w:line="600" w:lineRule="exact"/>
        <w:jc w:val="center"/>
        <w:rPr>
          <w:rFonts w:ascii="仿宋_GB2312" w:eastAsia="仿宋_GB2312"/>
          <w:sz w:val="44"/>
          <w:szCs w:val="36"/>
        </w:rPr>
      </w:pPr>
    </w:p>
    <w:p>
      <w:pPr>
        <w:spacing w:line="600" w:lineRule="exact"/>
        <w:jc w:val="center"/>
        <w:rPr>
          <w:rFonts w:ascii="仿宋_GB2312" w:eastAsia="仿宋_GB2312"/>
          <w:sz w:val="40"/>
          <w:szCs w:val="36"/>
        </w:rPr>
      </w:pPr>
      <w:r>
        <w:rPr>
          <w:rFonts w:hint="eastAsia" w:ascii="仿宋_GB2312" w:eastAsia="仿宋_GB2312"/>
          <w:sz w:val="40"/>
          <w:szCs w:val="36"/>
        </w:rPr>
        <w:t>目    录</w:t>
      </w:r>
    </w:p>
    <w:p>
      <w:pPr>
        <w:widowControl/>
        <w:spacing w:line="600" w:lineRule="exact"/>
        <w:ind w:firstLine="640"/>
        <w:jc w:val="left"/>
        <w:rPr>
          <w:rFonts w:ascii="仿宋_GB2312" w:eastAsia="仿宋_GB2312"/>
          <w:sz w:val="32"/>
          <w:szCs w:val="30"/>
        </w:rPr>
      </w:pPr>
    </w:p>
    <w:p>
      <w:pPr>
        <w:spacing w:line="600" w:lineRule="exact"/>
        <w:ind w:firstLine="643" w:firstLineChars="200"/>
        <w:jc w:val="both"/>
        <w:rPr>
          <w:rFonts w:ascii="仿宋_GB2312" w:hAnsi="黑体" w:eastAsia="仿宋_GB2312"/>
          <w:b/>
          <w:sz w:val="32"/>
          <w:szCs w:val="32"/>
        </w:rPr>
      </w:pPr>
      <w:r>
        <w:rPr>
          <w:rFonts w:hint="eastAsia" w:ascii="仿宋_GB2312" w:hAnsi="黑体" w:eastAsia="仿宋_GB2312"/>
          <w:b/>
          <w:sz w:val="32"/>
          <w:szCs w:val="32"/>
        </w:rPr>
        <w:t xml:space="preserve">第一部分 </w:t>
      </w:r>
      <w:r>
        <w:rPr>
          <w:rFonts w:hint="eastAsia" w:ascii="仿宋_GB2312" w:hAnsi="黑体" w:eastAsia="仿宋_GB2312"/>
          <w:sz w:val="32"/>
          <w:szCs w:val="32"/>
        </w:rPr>
        <w:t xml:space="preserve"> </w:t>
      </w:r>
      <w:r>
        <w:rPr>
          <w:rFonts w:hint="eastAsia" w:ascii="仿宋_GB2312" w:hAnsi="黑体" w:eastAsia="仿宋_GB2312"/>
          <w:b/>
          <w:bCs/>
          <w:sz w:val="32"/>
          <w:szCs w:val="32"/>
        </w:rPr>
        <w:t>景德镇市委市政府接待办部门</w:t>
      </w:r>
      <w:r>
        <w:rPr>
          <w:rFonts w:hint="eastAsia" w:ascii="仿宋_GB2312" w:hAnsi="黑体" w:eastAsia="仿宋_GB2312"/>
          <w:b/>
          <w:bCs/>
          <w:sz w:val="32"/>
          <w:szCs w:val="32"/>
        </w:rPr>
        <w:t>概况</w:t>
      </w:r>
    </w:p>
    <w:p>
      <w:pPr>
        <w:widowControl/>
        <w:spacing w:line="600" w:lineRule="exact"/>
        <w:ind w:firstLine="640"/>
        <w:jc w:val="left"/>
        <w:rPr>
          <w:rFonts w:ascii="仿宋_GB2312" w:hAnsi="仿宋" w:eastAsia="仿宋_GB2312"/>
          <w:sz w:val="32"/>
          <w:szCs w:val="30"/>
        </w:rPr>
      </w:pPr>
      <w:r>
        <w:rPr>
          <w:rFonts w:hint="eastAsia" w:ascii="仿宋_GB2312" w:eastAsia="仿宋_GB2312"/>
          <w:b/>
          <w:sz w:val="32"/>
          <w:szCs w:val="30"/>
        </w:rPr>
        <w:t xml:space="preserve">    </w:t>
      </w:r>
      <w:r>
        <w:rPr>
          <w:rFonts w:hint="eastAsia" w:ascii="仿宋_GB2312" w:hAnsi="仿宋" w:eastAsia="仿宋_GB2312"/>
          <w:sz w:val="32"/>
          <w:szCs w:val="30"/>
        </w:rPr>
        <w:t>一、部门主要职责</w:t>
      </w:r>
    </w:p>
    <w:p>
      <w:pPr>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二、部门基本情况</w:t>
      </w:r>
    </w:p>
    <w:p>
      <w:pPr>
        <w:widowControl/>
        <w:spacing w:line="600" w:lineRule="exact"/>
        <w:ind w:firstLine="640"/>
        <w:jc w:val="left"/>
        <w:rPr>
          <w:rFonts w:ascii="仿宋_GB2312" w:hAnsi="黑体" w:eastAsia="仿宋_GB2312"/>
          <w:b/>
          <w:sz w:val="32"/>
          <w:szCs w:val="32"/>
        </w:rPr>
      </w:pPr>
      <w:r>
        <w:rPr>
          <w:rFonts w:hint="eastAsia" w:ascii="仿宋_GB2312" w:hAnsi="黑体" w:eastAsia="仿宋_GB2312"/>
          <w:b/>
          <w:sz w:val="32"/>
          <w:szCs w:val="32"/>
        </w:rPr>
        <w:t>第二部分  2019年度部门决算表</w:t>
      </w:r>
    </w:p>
    <w:p>
      <w:pPr>
        <w:widowControl/>
        <w:spacing w:line="600" w:lineRule="exact"/>
        <w:ind w:firstLine="1280" w:firstLineChars="400"/>
        <w:jc w:val="left"/>
        <w:rPr>
          <w:rFonts w:ascii="仿宋_GB2312" w:hAnsi="仿宋" w:eastAsia="仿宋_GB2312"/>
          <w:sz w:val="32"/>
          <w:szCs w:val="30"/>
        </w:rPr>
      </w:pPr>
      <w:r>
        <w:rPr>
          <w:rFonts w:hint="eastAsia" w:ascii="仿宋_GB2312" w:hAnsi="仿宋" w:eastAsia="仿宋_GB2312"/>
          <w:sz w:val="32"/>
          <w:szCs w:val="30"/>
        </w:rPr>
        <w:t>一、收入支出决算总表</w:t>
      </w:r>
    </w:p>
    <w:p>
      <w:pPr>
        <w:widowControl/>
        <w:spacing w:line="600" w:lineRule="exact"/>
        <w:ind w:firstLine="1280" w:firstLineChars="400"/>
        <w:jc w:val="left"/>
        <w:rPr>
          <w:rFonts w:ascii="仿宋_GB2312" w:hAnsi="仿宋" w:eastAsia="仿宋_GB2312"/>
          <w:sz w:val="32"/>
          <w:szCs w:val="30"/>
        </w:rPr>
      </w:pPr>
      <w:r>
        <w:rPr>
          <w:rFonts w:hint="eastAsia" w:ascii="仿宋_GB2312" w:hAnsi="仿宋" w:eastAsia="仿宋_GB2312"/>
          <w:sz w:val="32"/>
          <w:szCs w:val="30"/>
        </w:rPr>
        <w:t>二、收入决算表</w:t>
      </w:r>
    </w:p>
    <w:p>
      <w:pPr>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三、支出决算表</w:t>
      </w:r>
    </w:p>
    <w:p>
      <w:pPr>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四、财政拨款收入支出决算总表</w:t>
      </w:r>
    </w:p>
    <w:p>
      <w:pPr>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五、一般公共预算财政拨款支出决算表</w:t>
      </w:r>
    </w:p>
    <w:p>
      <w:pPr>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六、一般公共预算财政拨款基本支出决算表</w:t>
      </w:r>
    </w:p>
    <w:p>
      <w:pPr>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七、一般公共预算财政拨款“三公”经费支出决算</w:t>
      </w:r>
    </w:p>
    <w:p>
      <w:pPr>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表</w:t>
      </w:r>
    </w:p>
    <w:p>
      <w:pPr>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八、政府性基金预算财政拨款收入支出决算表</w:t>
      </w:r>
    </w:p>
    <w:p>
      <w:pPr>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九、国有资产占用情况表</w:t>
      </w:r>
    </w:p>
    <w:p>
      <w:pPr>
        <w:widowControl/>
        <w:spacing w:line="600" w:lineRule="exact"/>
        <w:jc w:val="left"/>
        <w:rPr>
          <w:rFonts w:ascii="仿宋_GB2312" w:hAnsi="黑体" w:eastAsia="仿宋_GB2312"/>
          <w:sz w:val="32"/>
          <w:szCs w:val="32"/>
        </w:rPr>
      </w:pPr>
      <w:r>
        <w:rPr>
          <w:rFonts w:hint="eastAsia" w:ascii="仿宋_GB2312" w:hAnsi="仿宋" w:eastAsia="仿宋_GB2312" w:cs="宋体"/>
          <w:kern w:val="0"/>
          <w:sz w:val="32"/>
          <w:szCs w:val="32"/>
        </w:rPr>
        <w:t xml:space="preserve">    </w:t>
      </w:r>
      <w:r>
        <w:rPr>
          <w:rFonts w:hint="eastAsia" w:ascii="仿宋_GB2312" w:hAnsi="黑体" w:eastAsia="仿宋_GB2312"/>
          <w:sz w:val="32"/>
          <w:szCs w:val="32"/>
        </w:rPr>
        <w:t>第三部分  2019年度部门决算情况说明</w:t>
      </w:r>
    </w:p>
    <w:p>
      <w:pPr>
        <w:widowControl/>
        <w:spacing w:line="600" w:lineRule="exact"/>
        <w:ind w:firstLine="1280" w:firstLineChars="400"/>
        <w:jc w:val="left"/>
        <w:rPr>
          <w:rFonts w:ascii="仿宋_GB2312" w:hAnsi="仿宋" w:eastAsia="仿宋_GB2312"/>
          <w:sz w:val="32"/>
          <w:szCs w:val="30"/>
        </w:rPr>
      </w:pPr>
      <w:r>
        <w:rPr>
          <w:rFonts w:hint="eastAsia" w:ascii="仿宋_GB2312" w:hAnsi="仿宋" w:eastAsia="仿宋_GB2312"/>
          <w:sz w:val="32"/>
          <w:szCs w:val="30"/>
        </w:rPr>
        <w:t>一、收入决算情况说明</w:t>
      </w:r>
    </w:p>
    <w:p>
      <w:pPr>
        <w:widowControl/>
        <w:spacing w:line="600" w:lineRule="exact"/>
        <w:ind w:firstLine="1280" w:firstLineChars="400"/>
        <w:jc w:val="left"/>
        <w:rPr>
          <w:rFonts w:ascii="仿宋_GB2312" w:hAnsi="仿宋" w:eastAsia="仿宋_GB2312"/>
          <w:sz w:val="32"/>
          <w:szCs w:val="30"/>
        </w:rPr>
      </w:pPr>
      <w:r>
        <w:rPr>
          <w:rFonts w:hint="eastAsia" w:ascii="仿宋_GB2312" w:hAnsi="仿宋" w:eastAsia="仿宋_GB2312"/>
          <w:sz w:val="32"/>
          <w:szCs w:val="30"/>
        </w:rPr>
        <w:t>二、支出决算情况说明</w:t>
      </w:r>
    </w:p>
    <w:p>
      <w:pPr>
        <w:widowControl/>
        <w:spacing w:line="600" w:lineRule="exact"/>
        <w:ind w:firstLine="1280" w:firstLineChars="400"/>
        <w:jc w:val="left"/>
        <w:rPr>
          <w:rFonts w:ascii="仿宋_GB2312" w:hAnsi="仿宋" w:eastAsia="仿宋_GB2312"/>
          <w:sz w:val="32"/>
          <w:szCs w:val="30"/>
        </w:rPr>
      </w:pPr>
      <w:r>
        <w:rPr>
          <w:rFonts w:hint="eastAsia" w:ascii="仿宋_GB2312" w:hAnsi="仿宋" w:eastAsia="仿宋_GB2312"/>
          <w:sz w:val="32"/>
          <w:szCs w:val="30"/>
        </w:rPr>
        <w:t>三、财政拨款支出决算情况说明</w:t>
      </w:r>
    </w:p>
    <w:p>
      <w:pPr>
        <w:widowControl/>
        <w:spacing w:line="600" w:lineRule="exact"/>
        <w:ind w:firstLine="1280" w:firstLineChars="400"/>
        <w:jc w:val="left"/>
        <w:rPr>
          <w:rFonts w:ascii="仿宋_GB2312" w:hAnsi="仿宋" w:eastAsia="仿宋_GB2312"/>
          <w:sz w:val="32"/>
          <w:szCs w:val="30"/>
        </w:rPr>
      </w:pPr>
      <w:r>
        <w:rPr>
          <w:rFonts w:hint="eastAsia" w:ascii="仿宋_GB2312" w:hAnsi="仿宋" w:eastAsia="仿宋_GB2312"/>
          <w:sz w:val="32"/>
          <w:szCs w:val="30"/>
        </w:rPr>
        <w:t>四、一般公共预算财政拨款基本支出决算情况说明</w:t>
      </w:r>
    </w:p>
    <w:p>
      <w:pPr>
        <w:widowControl/>
        <w:spacing w:line="600" w:lineRule="exact"/>
        <w:ind w:firstLine="1280" w:firstLineChars="400"/>
        <w:jc w:val="left"/>
        <w:rPr>
          <w:rFonts w:ascii="仿宋_GB2312" w:hAnsi="仿宋" w:eastAsia="仿宋_GB2312"/>
          <w:sz w:val="32"/>
          <w:szCs w:val="30"/>
        </w:rPr>
      </w:pPr>
      <w:r>
        <w:rPr>
          <w:rFonts w:hint="eastAsia" w:ascii="仿宋_GB2312" w:hAnsi="仿宋" w:eastAsia="仿宋_GB2312"/>
          <w:sz w:val="32"/>
          <w:szCs w:val="30"/>
        </w:rPr>
        <w:t>五、一般公共预算财政拨款“三公”经费支出决算</w:t>
      </w:r>
    </w:p>
    <w:p>
      <w:pPr>
        <w:widowControl/>
        <w:spacing w:line="600" w:lineRule="exact"/>
        <w:jc w:val="left"/>
        <w:rPr>
          <w:rFonts w:ascii="仿宋_GB2312" w:hAnsi="仿宋" w:eastAsia="仿宋_GB2312"/>
          <w:sz w:val="32"/>
          <w:szCs w:val="30"/>
        </w:rPr>
      </w:pPr>
      <w:r>
        <w:rPr>
          <w:rFonts w:hint="eastAsia" w:ascii="仿宋_GB2312" w:hAnsi="仿宋" w:eastAsia="仿宋_GB2312"/>
          <w:sz w:val="32"/>
          <w:szCs w:val="30"/>
        </w:rPr>
        <w:t xml:space="preserve">    情况说明</w:t>
      </w:r>
    </w:p>
    <w:p>
      <w:pPr>
        <w:widowControl/>
        <w:spacing w:line="600" w:lineRule="exact"/>
        <w:ind w:firstLine="1280" w:firstLineChars="400"/>
        <w:jc w:val="left"/>
        <w:rPr>
          <w:rFonts w:ascii="仿宋_GB2312" w:hAnsi="仿宋" w:eastAsia="仿宋_GB2312"/>
          <w:sz w:val="32"/>
          <w:szCs w:val="30"/>
        </w:rPr>
      </w:pPr>
      <w:r>
        <w:rPr>
          <w:rFonts w:hint="eastAsia" w:ascii="仿宋_GB2312" w:hAnsi="仿宋" w:eastAsia="仿宋_GB2312"/>
          <w:sz w:val="32"/>
          <w:szCs w:val="30"/>
        </w:rPr>
        <w:t>六、机关运行经费支出情况说明</w:t>
      </w:r>
    </w:p>
    <w:p>
      <w:pPr>
        <w:widowControl/>
        <w:spacing w:line="600" w:lineRule="exact"/>
        <w:ind w:firstLine="640"/>
        <w:jc w:val="left"/>
        <w:rPr>
          <w:rFonts w:ascii="仿宋_GB2312" w:hAnsi="仿宋" w:eastAsia="仿宋_GB2312"/>
          <w:sz w:val="32"/>
          <w:szCs w:val="30"/>
        </w:rPr>
      </w:pPr>
      <w:r>
        <w:rPr>
          <w:rFonts w:hint="eastAsia" w:ascii="仿宋_GB2312" w:hAnsi="仿宋" w:eastAsia="仿宋_GB2312"/>
          <w:sz w:val="32"/>
          <w:szCs w:val="30"/>
        </w:rPr>
        <w:t xml:space="preserve">    七、政府采购支出情况说明</w:t>
      </w:r>
    </w:p>
    <w:p>
      <w:pPr>
        <w:widowControl/>
        <w:spacing w:line="600" w:lineRule="exact"/>
        <w:ind w:firstLine="640"/>
        <w:jc w:val="left"/>
        <w:rPr>
          <w:rFonts w:ascii="仿宋_GB2312" w:hAnsi="仿宋" w:eastAsia="仿宋_GB2312"/>
          <w:sz w:val="32"/>
          <w:szCs w:val="30"/>
        </w:rPr>
      </w:pPr>
      <w:r>
        <w:rPr>
          <w:rFonts w:hint="eastAsia" w:ascii="仿宋_GB2312" w:hAnsi="仿宋" w:eastAsia="仿宋_GB2312"/>
          <w:sz w:val="32"/>
          <w:szCs w:val="30"/>
        </w:rPr>
        <w:t xml:space="preserve">    八、国有资产占用情况说明</w:t>
      </w:r>
    </w:p>
    <w:p>
      <w:pPr>
        <w:widowControl/>
        <w:spacing w:line="600" w:lineRule="exact"/>
        <w:ind w:firstLine="640"/>
        <w:jc w:val="left"/>
        <w:rPr>
          <w:rFonts w:ascii="仿宋_GB2312" w:hAnsi="仿宋" w:eastAsia="仿宋_GB2312"/>
          <w:sz w:val="32"/>
          <w:szCs w:val="30"/>
        </w:rPr>
      </w:pPr>
      <w:r>
        <w:rPr>
          <w:rFonts w:hint="eastAsia" w:ascii="仿宋_GB2312" w:hAnsi="仿宋" w:eastAsia="仿宋_GB2312"/>
          <w:sz w:val="32"/>
          <w:szCs w:val="30"/>
        </w:rPr>
        <w:t xml:space="preserve">    九、预算绩效情况说明</w:t>
      </w:r>
    </w:p>
    <w:p>
      <w:pPr>
        <w:widowControl/>
        <w:spacing w:line="600" w:lineRule="exact"/>
        <w:ind w:firstLine="640"/>
        <w:jc w:val="left"/>
        <w:rPr>
          <w:rFonts w:ascii="仿宋_GB2312" w:hAnsi="仿宋" w:eastAsia="仿宋_GB2312"/>
          <w:sz w:val="32"/>
          <w:szCs w:val="30"/>
        </w:rPr>
      </w:pPr>
      <w:r>
        <w:rPr>
          <w:rFonts w:hint="eastAsia" w:ascii="仿宋_GB2312" w:hAnsi="黑体" w:eastAsia="仿宋_GB2312"/>
          <w:sz w:val="32"/>
          <w:szCs w:val="32"/>
        </w:rPr>
        <w:t>第四部分  名词解释</w:t>
      </w:r>
    </w:p>
    <w:p>
      <w:pPr>
        <w:ind w:firstLine="630"/>
        <w:jc w:val="center"/>
        <w:rPr>
          <w:rFonts w:ascii="仿宋_GB2312" w:hAnsi="宋体" w:eastAsia="仿宋_GB2312"/>
          <w:b/>
          <w:sz w:val="36"/>
          <w:szCs w:val="36"/>
        </w:rPr>
      </w:pPr>
    </w:p>
    <w:p>
      <w:pPr>
        <w:ind w:firstLine="630"/>
        <w:jc w:val="center"/>
        <w:rPr>
          <w:rFonts w:ascii="仿宋_GB2312" w:hAnsi="宋体" w:eastAsia="仿宋_GB2312"/>
          <w:b/>
          <w:sz w:val="36"/>
          <w:szCs w:val="36"/>
        </w:rPr>
      </w:pPr>
    </w:p>
    <w:p>
      <w:pPr>
        <w:ind w:firstLine="630"/>
        <w:jc w:val="center"/>
        <w:rPr>
          <w:rFonts w:ascii="仿宋_GB2312" w:hAnsi="宋体" w:eastAsia="仿宋_GB2312"/>
          <w:b/>
          <w:sz w:val="36"/>
          <w:szCs w:val="36"/>
        </w:rPr>
      </w:pPr>
    </w:p>
    <w:p>
      <w:pPr>
        <w:ind w:firstLine="630"/>
        <w:jc w:val="center"/>
        <w:rPr>
          <w:rFonts w:ascii="仿宋_GB2312" w:hAnsi="宋体" w:eastAsia="仿宋_GB2312"/>
          <w:b/>
          <w:sz w:val="36"/>
          <w:szCs w:val="36"/>
        </w:rPr>
      </w:pPr>
    </w:p>
    <w:p>
      <w:pPr>
        <w:ind w:firstLine="630"/>
        <w:jc w:val="center"/>
        <w:rPr>
          <w:rFonts w:ascii="仿宋_GB2312" w:hAnsi="宋体" w:eastAsia="仿宋_GB2312"/>
          <w:b/>
          <w:sz w:val="36"/>
          <w:szCs w:val="36"/>
        </w:rPr>
      </w:pPr>
    </w:p>
    <w:p>
      <w:pPr>
        <w:ind w:firstLine="630"/>
        <w:jc w:val="center"/>
        <w:rPr>
          <w:rFonts w:ascii="仿宋_GB2312" w:hAnsi="宋体" w:eastAsia="仿宋_GB2312"/>
          <w:b/>
          <w:sz w:val="36"/>
          <w:szCs w:val="36"/>
        </w:rPr>
      </w:pPr>
    </w:p>
    <w:p>
      <w:pPr>
        <w:ind w:firstLine="630"/>
        <w:jc w:val="center"/>
        <w:rPr>
          <w:rFonts w:ascii="仿宋_GB2312" w:hAnsi="宋体" w:eastAsia="仿宋_GB2312"/>
          <w:b/>
          <w:sz w:val="36"/>
          <w:szCs w:val="36"/>
        </w:rPr>
      </w:pPr>
    </w:p>
    <w:p>
      <w:pPr>
        <w:ind w:firstLine="630"/>
        <w:jc w:val="center"/>
        <w:rPr>
          <w:rFonts w:ascii="仿宋_GB2312" w:hAnsi="宋体" w:eastAsia="仿宋_GB2312"/>
          <w:b/>
          <w:sz w:val="36"/>
          <w:szCs w:val="36"/>
        </w:rPr>
      </w:pPr>
    </w:p>
    <w:p>
      <w:pPr>
        <w:rPr>
          <w:rFonts w:ascii="仿宋_GB2312" w:hAnsi="宋体" w:eastAsia="仿宋_GB2312"/>
          <w:b/>
          <w:sz w:val="36"/>
          <w:szCs w:val="36"/>
        </w:rPr>
      </w:pPr>
    </w:p>
    <w:p>
      <w:pPr>
        <w:ind w:firstLine="630"/>
        <w:jc w:val="center"/>
        <w:rPr>
          <w:rFonts w:ascii="仿宋_GB2312" w:hAnsi="宋体" w:eastAsia="仿宋_GB2312"/>
          <w:b/>
          <w:sz w:val="36"/>
          <w:szCs w:val="36"/>
        </w:rPr>
      </w:pPr>
    </w:p>
    <w:p>
      <w:pPr>
        <w:ind w:firstLine="630"/>
        <w:jc w:val="center"/>
        <w:rPr>
          <w:rFonts w:ascii="仿宋_GB2312" w:hAnsi="宋体" w:eastAsia="仿宋_GB2312"/>
          <w:b/>
          <w:sz w:val="36"/>
          <w:szCs w:val="36"/>
        </w:rPr>
      </w:pPr>
    </w:p>
    <w:p>
      <w:pPr>
        <w:ind w:firstLine="630"/>
        <w:jc w:val="center"/>
        <w:rPr>
          <w:rFonts w:ascii="仿宋_GB2312" w:hAnsi="宋体" w:eastAsia="仿宋_GB2312"/>
          <w:b/>
          <w:sz w:val="36"/>
          <w:szCs w:val="36"/>
        </w:rPr>
      </w:pPr>
    </w:p>
    <w:p>
      <w:pPr>
        <w:ind w:firstLine="630"/>
        <w:jc w:val="center"/>
        <w:rPr>
          <w:rFonts w:ascii="仿宋_GB2312" w:hAnsi="宋体" w:eastAsia="仿宋_GB2312"/>
          <w:b/>
          <w:sz w:val="36"/>
          <w:szCs w:val="36"/>
        </w:rPr>
      </w:pPr>
    </w:p>
    <w:p>
      <w:pPr>
        <w:widowControl/>
        <w:spacing w:line="580" w:lineRule="exact"/>
        <w:jc w:val="center"/>
        <w:rPr>
          <w:rFonts w:ascii="仿宋_GB2312" w:hAnsi="宋体" w:eastAsia="仿宋_GB2312"/>
          <w:b/>
          <w:sz w:val="32"/>
          <w:szCs w:val="30"/>
        </w:rPr>
      </w:pPr>
    </w:p>
    <w:p>
      <w:pPr>
        <w:widowControl/>
        <w:spacing w:line="580" w:lineRule="exact"/>
        <w:jc w:val="center"/>
        <w:rPr>
          <w:rFonts w:ascii="仿宋_GB2312" w:hAnsi="宋体" w:eastAsia="仿宋_GB2312"/>
          <w:b/>
          <w:sz w:val="32"/>
          <w:szCs w:val="30"/>
        </w:rPr>
      </w:pPr>
    </w:p>
    <w:p>
      <w:pPr>
        <w:spacing w:line="600" w:lineRule="exact"/>
        <w:jc w:val="center"/>
        <w:rPr>
          <w:rFonts w:ascii="仿宋_GB2312" w:hAnsi="宋体" w:eastAsia="仿宋_GB2312"/>
          <w:b/>
          <w:sz w:val="32"/>
          <w:szCs w:val="30"/>
        </w:rPr>
      </w:pPr>
      <w:r>
        <w:rPr>
          <w:rFonts w:hint="eastAsia" w:ascii="仿宋_GB2312" w:hAnsi="宋体" w:eastAsia="仿宋_GB2312"/>
          <w:b/>
          <w:sz w:val="32"/>
          <w:szCs w:val="30"/>
        </w:rPr>
        <w:t xml:space="preserve">第一部分  </w:t>
      </w:r>
      <w:r>
        <w:rPr>
          <w:rFonts w:hint="eastAsia" w:ascii="仿宋_GB2312" w:hAnsi="宋体" w:eastAsia="仿宋_GB2312"/>
          <w:b/>
          <w:sz w:val="32"/>
          <w:szCs w:val="32"/>
        </w:rPr>
        <w:t>景德镇市委市政府接待办</w:t>
      </w:r>
      <w:bookmarkStart w:id="0" w:name="_GoBack"/>
      <w:bookmarkEnd w:id="0"/>
      <w:r>
        <w:rPr>
          <w:rFonts w:hint="eastAsia" w:ascii="仿宋_GB2312" w:hAnsi="宋体" w:eastAsia="仿宋_GB2312"/>
          <w:b/>
          <w:sz w:val="32"/>
          <w:szCs w:val="32"/>
        </w:rPr>
        <w:t>部门</w:t>
      </w:r>
      <w:r>
        <w:rPr>
          <w:rFonts w:hint="eastAsia" w:ascii="仿宋_GB2312" w:hAnsi="宋体" w:eastAsia="仿宋_GB2312"/>
          <w:b/>
          <w:sz w:val="32"/>
          <w:szCs w:val="30"/>
        </w:rPr>
        <w:t>概况</w:t>
      </w:r>
    </w:p>
    <w:p>
      <w:pPr>
        <w:ind w:firstLine="630"/>
        <w:jc w:val="center"/>
        <w:rPr>
          <w:rFonts w:ascii="仿宋_GB2312" w:eastAsia="仿宋_GB2312"/>
          <w:sz w:val="32"/>
          <w:szCs w:val="32"/>
        </w:rPr>
      </w:pPr>
    </w:p>
    <w:p>
      <w:pPr>
        <w:ind w:firstLine="630"/>
        <w:jc w:val="left"/>
        <w:rPr>
          <w:rFonts w:ascii="仿宋_GB2312" w:hAnsi="黑体" w:eastAsia="仿宋_GB2312"/>
          <w:b/>
          <w:sz w:val="30"/>
          <w:szCs w:val="30"/>
        </w:rPr>
      </w:pPr>
      <w:r>
        <w:rPr>
          <w:rFonts w:hint="eastAsia" w:ascii="仿宋_GB2312" w:hAnsi="黑体" w:eastAsia="仿宋_GB2312"/>
          <w:b/>
          <w:sz w:val="30"/>
          <w:szCs w:val="30"/>
        </w:rPr>
        <w:t>一、部门主要职能</w:t>
      </w:r>
    </w:p>
    <w:p>
      <w:pPr>
        <w:snapToGrid w:val="0"/>
        <w:spacing w:line="520" w:lineRule="exact"/>
        <w:ind w:firstLine="600" w:firstLineChars="200"/>
        <w:rPr>
          <w:rFonts w:ascii="仿宋_GB2312" w:hAnsi="仿宋" w:eastAsia="仿宋_GB2312"/>
          <w:sz w:val="32"/>
          <w:szCs w:val="32"/>
        </w:rPr>
      </w:pPr>
      <w:r>
        <w:rPr>
          <w:rFonts w:hint="eastAsia" w:ascii="仿宋_GB2312" w:hAnsi="仿宋" w:eastAsia="仿宋_GB2312"/>
          <w:sz w:val="30"/>
          <w:szCs w:val="30"/>
        </w:rPr>
        <w:t>（一）</w:t>
      </w:r>
      <w:r>
        <w:rPr>
          <w:rFonts w:hint="eastAsia" w:ascii="仿宋_GB2312" w:hAnsi="仿宋" w:eastAsia="仿宋_GB2312"/>
          <w:sz w:val="32"/>
          <w:szCs w:val="32"/>
        </w:rPr>
        <w:t>负责市委、市人大常委会、市政府、市政协及市纪委主要领导交办和军分区副军级以上领导的接待工作；</w:t>
      </w:r>
    </w:p>
    <w:p>
      <w:pPr>
        <w:ind w:firstLine="630"/>
        <w:jc w:val="left"/>
        <w:rPr>
          <w:rFonts w:ascii="仿宋_GB2312" w:hAnsi="仿宋" w:eastAsia="仿宋_GB2312"/>
          <w:sz w:val="30"/>
          <w:szCs w:val="30"/>
        </w:rPr>
      </w:pPr>
      <w:r>
        <w:rPr>
          <w:rFonts w:hint="eastAsia" w:ascii="仿宋_GB2312" w:hAnsi="仿宋" w:eastAsia="仿宋_GB2312"/>
          <w:sz w:val="30"/>
          <w:szCs w:val="30"/>
        </w:rPr>
        <w:t>（二）</w:t>
      </w:r>
      <w:r>
        <w:rPr>
          <w:rFonts w:hint="eastAsia" w:ascii="仿宋_GB2312" w:hAnsi="仿宋" w:eastAsia="仿宋_GB2312"/>
          <w:sz w:val="32"/>
          <w:szCs w:val="32"/>
        </w:rPr>
        <w:t>承担市党政主要领导交办的重要会议的接待和服务工作；</w:t>
      </w:r>
    </w:p>
    <w:p>
      <w:pPr>
        <w:ind w:firstLine="630"/>
        <w:jc w:val="left"/>
        <w:rPr>
          <w:rFonts w:ascii="仿宋_GB2312" w:hAnsi="仿宋" w:eastAsia="仿宋_GB2312"/>
          <w:sz w:val="30"/>
          <w:szCs w:val="30"/>
        </w:rPr>
      </w:pPr>
      <w:r>
        <w:rPr>
          <w:rFonts w:hint="eastAsia" w:ascii="仿宋_GB2312" w:hAnsi="仿宋" w:eastAsia="仿宋_GB2312"/>
          <w:sz w:val="30"/>
          <w:szCs w:val="30"/>
        </w:rPr>
        <w:t>（三）</w:t>
      </w:r>
      <w:r>
        <w:rPr>
          <w:rFonts w:hint="eastAsia" w:ascii="仿宋_GB2312" w:hAnsi="仿宋" w:eastAsia="仿宋_GB2312"/>
          <w:sz w:val="32"/>
          <w:szCs w:val="32"/>
        </w:rPr>
        <w:t>根据工作需要负责安排市领导外出政务活动和参观视察等联系服务工作；</w:t>
      </w:r>
    </w:p>
    <w:p>
      <w:pPr>
        <w:ind w:firstLine="630"/>
        <w:jc w:val="left"/>
        <w:rPr>
          <w:rFonts w:ascii="仿宋_GB2312" w:hAnsi="仿宋" w:eastAsia="仿宋_GB2312"/>
          <w:sz w:val="30"/>
          <w:szCs w:val="30"/>
        </w:rPr>
      </w:pPr>
      <w:r>
        <w:rPr>
          <w:rFonts w:hint="eastAsia" w:ascii="仿宋_GB2312" w:hAnsi="仿宋" w:eastAsia="仿宋_GB2312"/>
          <w:sz w:val="30"/>
          <w:szCs w:val="30"/>
        </w:rPr>
        <w:t>（四）</w:t>
      </w:r>
      <w:r>
        <w:rPr>
          <w:rFonts w:hint="eastAsia" w:ascii="仿宋_GB2312" w:hAnsi="仿宋" w:eastAsia="仿宋_GB2312"/>
          <w:sz w:val="32"/>
          <w:szCs w:val="32"/>
        </w:rPr>
        <w:t>承办市委、市政府领导交办的其他事项。</w:t>
      </w:r>
    </w:p>
    <w:p>
      <w:pPr>
        <w:ind w:firstLine="630"/>
        <w:jc w:val="left"/>
        <w:rPr>
          <w:rFonts w:ascii="仿宋_GB2312" w:hAnsi="黑体" w:eastAsia="仿宋_GB2312"/>
          <w:b/>
          <w:sz w:val="30"/>
          <w:szCs w:val="30"/>
        </w:rPr>
      </w:pPr>
      <w:r>
        <w:rPr>
          <w:rFonts w:hint="eastAsia" w:ascii="仿宋_GB2312" w:hAnsi="黑体" w:eastAsia="仿宋_GB2312"/>
          <w:b/>
          <w:sz w:val="30"/>
          <w:szCs w:val="30"/>
        </w:rPr>
        <w:t>二、部门基本情况</w:t>
      </w:r>
    </w:p>
    <w:p>
      <w:pPr>
        <w:ind w:firstLine="630"/>
        <w:jc w:val="left"/>
        <w:rPr>
          <w:rFonts w:ascii="仿宋_GB2312" w:hAnsi="仿宋" w:eastAsia="仿宋_GB2312"/>
          <w:sz w:val="30"/>
          <w:szCs w:val="30"/>
        </w:rPr>
      </w:pPr>
      <w:r>
        <w:rPr>
          <w:rFonts w:hint="eastAsia" w:ascii="仿宋_GB2312" w:hAnsi="仿宋" w:eastAsia="仿宋_GB2312"/>
          <w:sz w:val="30"/>
          <w:szCs w:val="30"/>
        </w:rPr>
        <w:t>纳入本套部门决算汇编范围的单位共  1 个，包括：景德镇市委市政府接待办公室本级。</w:t>
      </w:r>
    </w:p>
    <w:p>
      <w:pPr>
        <w:ind w:firstLine="630"/>
        <w:jc w:val="left"/>
        <w:rPr>
          <w:rFonts w:ascii="仿宋_GB2312" w:hAnsi="仿宋" w:eastAsia="仿宋_GB2312"/>
          <w:sz w:val="30"/>
          <w:szCs w:val="30"/>
        </w:rPr>
      </w:pPr>
      <w:r>
        <w:rPr>
          <w:rFonts w:hint="eastAsia" w:ascii="仿宋_GB2312" w:hAnsi="仿宋" w:eastAsia="仿宋_GB2312"/>
          <w:sz w:val="30"/>
          <w:szCs w:val="30"/>
        </w:rPr>
        <w:t>本部门2019年年末实有人数  20 人，其中在职人员 13 人，离休人员 0 人，退休人员  7 人；年末其他人员 0 人；年末学生人数  0 人。</w:t>
      </w:r>
    </w:p>
    <w:p>
      <w:pPr>
        <w:ind w:firstLine="630"/>
        <w:jc w:val="left"/>
        <w:rPr>
          <w:rFonts w:ascii="仿宋_GB2312" w:hAnsi="仿宋" w:eastAsia="仿宋_GB2312"/>
          <w:sz w:val="30"/>
          <w:szCs w:val="30"/>
        </w:rPr>
      </w:pPr>
    </w:p>
    <w:p>
      <w:pPr>
        <w:widowControl/>
        <w:spacing w:line="600" w:lineRule="exact"/>
        <w:ind w:firstLine="640"/>
        <w:jc w:val="center"/>
        <w:rPr>
          <w:rFonts w:ascii="仿宋_GB2312" w:hAnsi="宋体" w:eastAsia="仿宋_GB2312"/>
          <w:b/>
          <w:sz w:val="32"/>
          <w:szCs w:val="32"/>
        </w:rPr>
      </w:pPr>
    </w:p>
    <w:p>
      <w:pPr>
        <w:widowControl/>
        <w:spacing w:line="600" w:lineRule="exact"/>
        <w:ind w:firstLine="640"/>
        <w:jc w:val="center"/>
        <w:rPr>
          <w:rFonts w:ascii="仿宋_GB2312" w:hAnsi="宋体" w:eastAsia="仿宋_GB2312"/>
          <w:b/>
          <w:sz w:val="32"/>
          <w:szCs w:val="32"/>
        </w:rPr>
      </w:pPr>
    </w:p>
    <w:p>
      <w:pPr>
        <w:widowControl/>
        <w:spacing w:line="600" w:lineRule="exact"/>
        <w:ind w:firstLine="640"/>
        <w:jc w:val="center"/>
        <w:rPr>
          <w:rFonts w:ascii="仿宋_GB2312" w:hAnsi="宋体" w:eastAsia="仿宋_GB2312"/>
          <w:b/>
          <w:sz w:val="32"/>
          <w:szCs w:val="32"/>
        </w:rPr>
      </w:pPr>
    </w:p>
    <w:p>
      <w:pPr>
        <w:widowControl/>
        <w:spacing w:line="600" w:lineRule="exact"/>
        <w:ind w:firstLine="640"/>
        <w:jc w:val="center"/>
        <w:rPr>
          <w:rFonts w:ascii="仿宋_GB2312" w:hAnsi="宋体" w:eastAsia="仿宋_GB2312"/>
          <w:b/>
          <w:sz w:val="32"/>
          <w:szCs w:val="32"/>
        </w:rPr>
      </w:pPr>
    </w:p>
    <w:p>
      <w:pPr>
        <w:widowControl/>
        <w:spacing w:line="600" w:lineRule="exact"/>
        <w:ind w:firstLine="640"/>
        <w:jc w:val="center"/>
        <w:rPr>
          <w:rFonts w:ascii="仿宋_GB2312" w:hAnsi="宋体" w:eastAsia="仿宋_GB2312"/>
          <w:b/>
          <w:sz w:val="32"/>
          <w:szCs w:val="32"/>
        </w:rPr>
      </w:pPr>
    </w:p>
    <w:p>
      <w:pPr>
        <w:widowControl/>
        <w:spacing w:line="600" w:lineRule="exact"/>
        <w:ind w:firstLine="640"/>
        <w:jc w:val="center"/>
        <w:rPr>
          <w:rFonts w:ascii="仿宋_GB2312" w:hAnsi="宋体" w:eastAsia="仿宋_GB2312"/>
          <w:b/>
          <w:sz w:val="32"/>
          <w:szCs w:val="32"/>
        </w:rPr>
      </w:pPr>
    </w:p>
    <w:p>
      <w:pPr>
        <w:widowControl/>
        <w:spacing w:line="600" w:lineRule="exact"/>
        <w:ind w:firstLine="640"/>
        <w:jc w:val="center"/>
        <w:rPr>
          <w:rFonts w:ascii="仿宋_GB2312" w:hAnsi="宋体" w:eastAsia="仿宋_GB2312"/>
          <w:b/>
          <w:sz w:val="32"/>
          <w:szCs w:val="32"/>
        </w:rPr>
      </w:pPr>
    </w:p>
    <w:p>
      <w:pPr>
        <w:widowControl/>
        <w:spacing w:line="600" w:lineRule="exact"/>
        <w:ind w:firstLine="640"/>
        <w:jc w:val="center"/>
        <w:rPr>
          <w:rFonts w:ascii="仿宋_GB2312" w:hAnsi="宋体" w:eastAsia="仿宋_GB2312"/>
          <w:b/>
          <w:sz w:val="32"/>
          <w:szCs w:val="32"/>
        </w:rPr>
      </w:pPr>
    </w:p>
    <w:p>
      <w:pPr>
        <w:widowControl/>
        <w:spacing w:line="600" w:lineRule="exact"/>
        <w:rPr>
          <w:rFonts w:ascii="仿宋_GB2312" w:hAnsi="宋体" w:eastAsia="仿宋_GB2312"/>
          <w:b/>
          <w:sz w:val="32"/>
          <w:szCs w:val="32"/>
        </w:rPr>
      </w:pPr>
    </w:p>
    <w:p>
      <w:pPr>
        <w:widowControl/>
        <w:spacing w:line="600" w:lineRule="exact"/>
        <w:ind w:firstLine="640"/>
        <w:jc w:val="center"/>
        <w:rPr>
          <w:rFonts w:ascii="仿宋_GB2312" w:hAnsi="宋体" w:eastAsia="仿宋_GB2312"/>
          <w:b/>
          <w:sz w:val="32"/>
          <w:szCs w:val="32"/>
        </w:rPr>
      </w:pPr>
      <w:r>
        <w:rPr>
          <w:rFonts w:hint="eastAsia" w:ascii="仿宋_GB2312" w:hAnsi="宋体" w:eastAsia="仿宋_GB2312"/>
          <w:b/>
          <w:sz w:val="32"/>
          <w:szCs w:val="32"/>
        </w:rPr>
        <w:t>第二部分  2019年度部门决算表</w:t>
      </w:r>
    </w:p>
    <w:p>
      <w:pPr>
        <w:autoSpaceDE w:val="0"/>
        <w:autoSpaceDN w:val="0"/>
        <w:adjustRightInd w:val="0"/>
        <w:spacing w:line="360" w:lineRule="auto"/>
        <w:jc w:val="left"/>
        <w:rPr>
          <w:rFonts w:ascii="仿宋_GB2312" w:eastAsia="仿宋_GB2312"/>
          <w:szCs w:val="30"/>
        </w:rPr>
      </w:pPr>
    </w:p>
    <w:p>
      <w:pPr>
        <w:autoSpaceDE w:val="0"/>
        <w:autoSpaceDN w:val="0"/>
        <w:adjustRightInd w:val="0"/>
        <w:spacing w:line="360" w:lineRule="auto"/>
        <w:jc w:val="left"/>
        <w:rPr>
          <w:rFonts w:ascii="仿宋_GB2312" w:eastAsia="仿宋_GB2312"/>
          <w:szCs w:val="30"/>
        </w:rPr>
      </w:pPr>
      <w:r>
        <w:rPr>
          <w:rFonts w:hint="eastAsia" w:ascii="仿宋_GB2312" w:eastAsia="仿宋_GB2312"/>
        </w:rPr>
        <w:drawing>
          <wp:inline distT="0" distB="0" distL="114300" distR="114300">
            <wp:extent cx="5271770" cy="4881245"/>
            <wp:effectExtent l="19050" t="0" r="508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5" cstate="print"/>
                    <a:stretch>
                      <a:fillRect/>
                    </a:stretch>
                  </pic:blipFill>
                  <pic:spPr>
                    <a:xfrm>
                      <a:off x="0" y="0"/>
                      <a:ext cx="5271770" cy="4881750"/>
                    </a:xfrm>
                    <a:prstGeom prst="rect">
                      <a:avLst/>
                    </a:prstGeom>
                    <a:noFill/>
                    <a:ln>
                      <a:noFill/>
                    </a:ln>
                  </pic:spPr>
                </pic:pic>
              </a:graphicData>
            </a:graphic>
          </wp:inline>
        </w:drawing>
      </w:r>
    </w:p>
    <w:p>
      <w:pPr>
        <w:tabs>
          <w:tab w:val="left" w:pos="7185"/>
        </w:tabs>
        <w:autoSpaceDE w:val="0"/>
        <w:autoSpaceDN w:val="0"/>
        <w:adjustRightInd w:val="0"/>
        <w:spacing w:line="360" w:lineRule="auto"/>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ab/>
      </w:r>
    </w:p>
    <w:p>
      <w:pPr>
        <w:autoSpaceDE w:val="0"/>
        <w:autoSpaceDN w:val="0"/>
        <w:adjustRightInd w:val="0"/>
        <w:spacing w:line="360" w:lineRule="auto"/>
        <w:jc w:val="left"/>
        <w:rPr>
          <w:rFonts w:ascii="仿宋_GB2312" w:eastAsia="仿宋_GB2312"/>
        </w:rPr>
      </w:pPr>
      <w:r>
        <w:rPr>
          <w:rFonts w:hint="eastAsia" w:ascii="仿宋_GB2312" w:hAnsi="仿宋" w:eastAsia="仿宋_GB2312" w:cs="仿宋_GB2312"/>
          <w:kern w:val="0"/>
          <w:sz w:val="30"/>
          <w:szCs w:val="30"/>
        </w:rPr>
        <w:t xml:space="preserve"> </w:t>
      </w:r>
      <w:r>
        <w:rPr>
          <w:rFonts w:hint="eastAsia" w:ascii="仿宋_GB2312" w:eastAsia="仿宋_GB2312"/>
        </w:rPr>
        <w:drawing>
          <wp:inline distT="0" distB="0" distL="114300" distR="114300">
            <wp:extent cx="5266690" cy="2263775"/>
            <wp:effectExtent l="1905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cstate="print"/>
                    <a:stretch>
                      <a:fillRect/>
                    </a:stretch>
                  </pic:blipFill>
                  <pic:spPr>
                    <a:xfrm>
                      <a:off x="0" y="0"/>
                      <a:ext cx="5266690" cy="2264184"/>
                    </a:xfrm>
                    <a:prstGeom prst="rect">
                      <a:avLst/>
                    </a:prstGeom>
                    <a:noFill/>
                    <a:ln>
                      <a:noFill/>
                    </a:ln>
                  </pic:spPr>
                </pic:pic>
              </a:graphicData>
            </a:graphic>
          </wp:inline>
        </w:drawing>
      </w:r>
    </w:p>
    <w:p>
      <w:pPr>
        <w:autoSpaceDE w:val="0"/>
        <w:autoSpaceDN w:val="0"/>
        <w:adjustRightInd w:val="0"/>
        <w:spacing w:line="360" w:lineRule="auto"/>
        <w:jc w:val="left"/>
        <w:rPr>
          <w:rFonts w:ascii="仿宋_GB2312" w:eastAsia="仿宋_GB2312"/>
        </w:rPr>
      </w:pPr>
    </w:p>
    <w:p>
      <w:pPr>
        <w:autoSpaceDE w:val="0"/>
        <w:autoSpaceDN w:val="0"/>
        <w:adjustRightInd w:val="0"/>
        <w:spacing w:line="360" w:lineRule="auto"/>
        <w:jc w:val="left"/>
        <w:rPr>
          <w:rFonts w:ascii="仿宋_GB2312" w:eastAsia="仿宋_GB2312"/>
        </w:rPr>
      </w:pPr>
    </w:p>
    <w:p>
      <w:pPr>
        <w:autoSpaceDE w:val="0"/>
        <w:autoSpaceDN w:val="0"/>
        <w:adjustRightInd w:val="0"/>
        <w:spacing w:line="360" w:lineRule="auto"/>
        <w:jc w:val="left"/>
        <w:rPr>
          <w:rFonts w:ascii="仿宋_GB2312" w:hAnsi="仿宋" w:eastAsia="仿宋_GB2312" w:cs="仿宋_GB2312"/>
          <w:kern w:val="0"/>
          <w:sz w:val="30"/>
          <w:szCs w:val="30"/>
        </w:rPr>
      </w:pPr>
      <w:r>
        <w:rPr>
          <w:rFonts w:hint="eastAsia" w:ascii="仿宋_GB2312" w:eastAsia="仿宋_GB2312"/>
        </w:rPr>
        <w:drawing>
          <wp:inline distT="0" distB="0" distL="114300" distR="114300">
            <wp:extent cx="5269865" cy="2781300"/>
            <wp:effectExtent l="19050" t="0" r="6985"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cstate="print"/>
                    <a:stretch>
                      <a:fillRect/>
                    </a:stretch>
                  </pic:blipFill>
                  <pic:spPr>
                    <a:xfrm>
                      <a:off x="0" y="0"/>
                      <a:ext cx="5269865" cy="2781317"/>
                    </a:xfrm>
                    <a:prstGeom prst="rect">
                      <a:avLst/>
                    </a:prstGeom>
                    <a:noFill/>
                    <a:ln>
                      <a:noFill/>
                    </a:ln>
                  </pic:spPr>
                </pic:pic>
              </a:graphicData>
            </a:graphic>
          </wp:inline>
        </w:drawing>
      </w:r>
    </w:p>
    <w:p>
      <w:pPr>
        <w:autoSpaceDE w:val="0"/>
        <w:autoSpaceDN w:val="0"/>
        <w:adjustRightInd w:val="0"/>
        <w:spacing w:line="360" w:lineRule="auto"/>
        <w:jc w:val="left"/>
        <w:rPr>
          <w:rFonts w:ascii="仿宋_GB2312" w:eastAsia="仿宋_GB2312"/>
          <w:szCs w:val="30"/>
        </w:rPr>
      </w:pPr>
    </w:p>
    <w:p>
      <w:pPr>
        <w:autoSpaceDE w:val="0"/>
        <w:autoSpaceDN w:val="0"/>
        <w:adjustRightInd w:val="0"/>
        <w:spacing w:line="360" w:lineRule="auto"/>
        <w:jc w:val="left"/>
        <w:rPr>
          <w:rFonts w:ascii="仿宋_GB2312" w:eastAsia="仿宋_GB2312"/>
          <w:szCs w:val="30"/>
        </w:rPr>
      </w:pPr>
      <w:r>
        <w:rPr>
          <w:rFonts w:hint="eastAsia" w:ascii="仿宋_GB2312" w:eastAsia="仿宋_GB2312"/>
        </w:rPr>
        <w:drawing>
          <wp:inline distT="0" distB="0" distL="114300" distR="114300">
            <wp:extent cx="5269230" cy="4106545"/>
            <wp:effectExtent l="19050" t="0" r="762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8" cstate="print"/>
                    <a:stretch>
                      <a:fillRect/>
                    </a:stretch>
                  </pic:blipFill>
                  <pic:spPr>
                    <a:xfrm>
                      <a:off x="0" y="0"/>
                      <a:ext cx="5269230" cy="4106586"/>
                    </a:xfrm>
                    <a:prstGeom prst="rect">
                      <a:avLst/>
                    </a:prstGeom>
                    <a:noFill/>
                    <a:ln>
                      <a:noFill/>
                    </a:ln>
                  </pic:spPr>
                </pic:pic>
              </a:graphicData>
            </a:graphic>
          </wp:inline>
        </w:drawing>
      </w:r>
    </w:p>
    <w:p>
      <w:pPr>
        <w:autoSpaceDE w:val="0"/>
        <w:autoSpaceDN w:val="0"/>
        <w:adjustRightInd w:val="0"/>
        <w:spacing w:line="360" w:lineRule="auto"/>
        <w:jc w:val="left"/>
        <w:rPr>
          <w:rFonts w:ascii="仿宋_GB2312" w:hAnsi="仿宋" w:eastAsia="仿宋_GB2312" w:cs="仿宋_GB2312"/>
          <w:kern w:val="0"/>
          <w:sz w:val="30"/>
          <w:szCs w:val="30"/>
        </w:rPr>
      </w:pPr>
    </w:p>
    <w:p>
      <w:pPr>
        <w:autoSpaceDE w:val="0"/>
        <w:autoSpaceDN w:val="0"/>
        <w:adjustRightInd w:val="0"/>
        <w:spacing w:line="360" w:lineRule="auto"/>
        <w:jc w:val="left"/>
        <w:rPr>
          <w:rFonts w:ascii="仿宋_GB2312" w:hAnsi="仿宋" w:eastAsia="仿宋_GB2312" w:cs="仿宋_GB2312"/>
          <w:kern w:val="0"/>
          <w:sz w:val="30"/>
          <w:szCs w:val="30"/>
        </w:rPr>
      </w:pPr>
      <w:r>
        <w:rPr>
          <w:rFonts w:hint="eastAsia" w:ascii="仿宋_GB2312" w:eastAsia="仿宋_GB2312"/>
        </w:rPr>
        <w:drawing>
          <wp:inline distT="0" distB="0" distL="114300" distR="114300">
            <wp:extent cx="4943475" cy="3869055"/>
            <wp:effectExtent l="19050" t="0" r="9525"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9" cstate="print"/>
                    <a:stretch>
                      <a:fillRect/>
                    </a:stretch>
                  </pic:blipFill>
                  <pic:spPr>
                    <a:xfrm>
                      <a:off x="0" y="0"/>
                      <a:ext cx="4943968" cy="3869498"/>
                    </a:xfrm>
                    <a:prstGeom prst="rect">
                      <a:avLst/>
                    </a:prstGeom>
                    <a:noFill/>
                    <a:ln>
                      <a:noFill/>
                    </a:ln>
                  </pic:spPr>
                </pic:pic>
              </a:graphicData>
            </a:graphic>
          </wp:inline>
        </w:drawing>
      </w:r>
    </w:p>
    <w:p>
      <w:pPr>
        <w:autoSpaceDE w:val="0"/>
        <w:autoSpaceDN w:val="0"/>
        <w:adjustRightInd w:val="0"/>
        <w:spacing w:line="360" w:lineRule="auto"/>
        <w:jc w:val="left"/>
        <w:rPr>
          <w:rFonts w:ascii="仿宋_GB2312" w:eastAsia="仿宋_GB2312"/>
          <w:szCs w:val="30"/>
        </w:rPr>
      </w:pPr>
    </w:p>
    <w:p>
      <w:pPr>
        <w:autoSpaceDE w:val="0"/>
        <w:autoSpaceDN w:val="0"/>
        <w:adjustRightInd w:val="0"/>
        <w:spacing w:line="360" w:lineRule="auto"/>
        <w:jc w:val="left"/>
        <w:rPr>
          <w:rFonts w:ascii="仿宋_GB2312" w:eastAsia="仿宋_GB2312"/>
          <w:szCs w:val="30"/>
        </w:rPr>
      </w:pPr>
      <w:r>
        <w:rPr>
          <w:rFonts w:hint="eastAsia" w:ascii="仿宋_GB2312" w:eastAsia="仿宋_GB2312"/>
        </w:rPr>
        <w:drawing>
          <wp:inline distT="0" distB="0" distL="114300" distR="114300">
            <wp:extent cx="5143500" cy="8882380"/>
            <wp:effectExtent l="1905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10" cstate="print"/>
                    <a:stretch>
                      <a:fillRect/>
                    </a:stretch>
                  </pic:blipFill>
                  <pic:spPr>
                    <a:xfrm>
                      <a:off x="0" y="0"/>
                      <a:ext cx="5145356" cy="8885966"/>
                    </a:xfrm>
                    <a:prstGeom prst="rect">
                      <a:avLst/>
                    </a:prstGeom>
                    <a:noFill/>
                    <a:ln>
                      <a:noFill/>
                    </a:ln>
                  </pic:spPr>
                </pic:pic>
              </a:graphicData>
            </a:graphic>
          </wp:inline>
        </w:drawing>
      </w:r>
    </w:p>
    <w:p>
      <w:pPr>
        <w:autoSpaceDE w:val="0"/>
        <w:autoSpaceDN w:val="0"/>
        <w:adjustRightInd w:val="0"/>
        <w:spacing w:line="360" w:lineRule="auto"/>
        <w:jc w:val="left"/>
        <w:rPr>
          <w:rFonts w:ascii="仿宋_GB2312" w:eastAsia="仿宋_GB2312"/>
          <w:szCs w:val="30"/>
        </w:rPr>
      </w:pPr>
    </w:p>
    <w:p>
      <w:pPr>
        <w:autoSpaceDE w:val="0"/>
        <w:autoSpaceDN w:val="0"/>
        <w:adjustRightInd w:val="0"/>
        <w:spacing w:line="360" w:lineRule="auto"/>
        <w:jc w:val="left"/>
        <w:rPr>
          <w:rFonts w:ascii="仿宋_GB2312" w:eastAsia="仿宋_GB2312"/>
          <w:szCs w:val="30"/>
        </w:rPr>
      </w:pPr>
    </w:p>
    <w:p>
      <w:pPr>
        <w:autoSpaceDE w:val="0"/>
        <w:autoSpaceDN w:val="0"/>
        <w:adjustRightInd w:val="0"/>
        <w:spacing w:line="360" w:lineRule="auto"/>
        <w:jc w:val="left"/>
        <w:rPr>
          <w:rFonts w:ascii="仿宋_GB2312" w:eastAsia="仿宋_GB2312"/>
          <w:szCs w:val="30"/>
        </w:rPr>
      </w:pPr>
    </w:p>
    <w:p>
      <w:pPr>
        <w:autoSpaceDE w:val="0"/>
        <w:autoSpaceDN w:val="0"/>
        <w:adjustRightInd w:val="0"/>
        <w:spacing w:line="360" w:lineRule="auto"/>
        <w:jc w:val="left"/>
        <w:rPr>
          <w:rFonts w:ascii="仿宋_GB2312" w:eastAsia="仿宋_GB2312"/>
          <w:szCs w:val="30"/>
        </w:rPr>
      </w:pPr>
      <w:r>
        <w:rPr>
          <w:rFonts w:hint="eastAsia" w:ascii="仿宋_GB2312" w:eastAsia="仿宋_GB2312"/>
        </w:rPr>
        <w:drawing>
          <wp:inline distT="0" distB="0" distL="114300" distR="114300">
            <wp:extent cx="5270500" cy="4559935"/>
            <wp:effectExtent l="19050" t="0" r="635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1" cstate="print"/>
                    <a:stretch>
                      <a:fillRect/>
                    </a:stretch>
                  </pic:blipFill>
                  <pic:spPr>
                    <a:xfrm>
                      <a:off x="0" y="0"/>
                      <a:ext cx="5270500" cy="4560233"/>
                    </a:xfrm>
                    <a:prstGeom prst="rect">
                      <a:avLst/>
                    </a:prstGeom>
                    <a:noFill/>
                    <a:ln>
                      <a:noFill/>
                    </a:ln>
                  </pic:spPr>
                </pic:pic>
              </a:graphicData>
            </a:graphic>
          </wp:inline>
        </w:drawing>
      </w:r>
    </w:p>
    <w:p>
      <w:pPr>
        <w:autoSpaceDE w:val="0"/>
        <w:autoSpaceDN w:val="0"/>
        <w:adjustRightInd w:val="0"/>
        <w:spacing w:line="360" w:lineRule="auto"/>
        <w:jc w:val="left"/>
        <w:rPr>
          <w:rFonts w:ascii="仿宋_GB2312" w:eastAsia="仿宋_GB2312"/>
          <w:szCs w:val="30"/>
        </w:rPr>
      </w:pPr>
    </w:p>
    <w:p>
      <w:pPr>
        <w:autoSpaceDE w:val="0"/>
        <w:autoSpaceDN w:val="0"/>
        <w:adjustRightInd w:val="0"/>
        <w:spacing w:line="360" w:lineRule="auto"/>
        <w:jc w:val="left"/>
        <w:rPr>
          <w:rFonts w:ascii="仿宋_GB2312" w:eastAsia="仿宋_GB2312"/>
          <w:szCs w:val="30"/>
        </w:rPr>
      </w:pPr>
    </w:p>
    <w:p>
      <w:pPr>
        <w:autoSpaceDE w:val="0"/>
        <w:autoSpaceDN w:val="0"/>
        <w:adjustRightInd w:val="0"/>
        <w:spacing w:line="360" w:lineRule="auto"/>
        <w:jc w:val="left"/>
        <w:rPr>
          <w:rFonts w:ascii="仿宋_GB2312" w:eastAsia="仿宋_GB2312"/>
          <w:szCs w:val="30"/>
        </w:rPr>
      </w:pPr>
      <w:r>
        <w:rPr>
          <w:rFonts w:hint="eastAsia" w:ascii="仿宋_GB2312" w:eastAsia="仿宋_GB2312"/>
        </w:rPr>
        <w:drawing>
          <wp:inline distT="0" distB="0" distL="114300" distR="114300">
            <wp:extent cx="5267960" cy="1692275"/>
            <wp:effectExtent l="19050" t="0" r="8890" b="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2" cstate="print"/>
                    <a:stretch>
                      <a:fillRect/>
                    </a:stretch>
                  </pic:blipFill>
                  <pic:spPr>
                    <a:xfrm>
                      <a:off x="0" y="0"/>
                      <a:ext cx="5267960" cy="1692907"/>
                    </a:xfrm>
                    <a:prstGeom prst="rect">
                      <a:avLst/>
                    </a:prstGeom>
                    <a:noFill/>
                    <a:ln>
                      <a:noFill/>
                    </a:ln>
                  </pic:spPr>
                </pic:pic>
              </a:graphicData>
            </a:graphic>
          </wp:inline>
        </w:drawing>
      </w:r>
    </w:p>
    <w:p>
      <w:pPr>
        <w:autoSpaceDE w:val="0"/>
        <w:autoSpaceDN w:val="0"/>
        <w:adjustRightInd w:val="0"/>
        <w:spacing w:line="360" w:lineRule="auto"/>
        <w:jc w:val="left"/>
        <w:rPr>
          <w:rFonts w:ascii="仿宋_GB2312" w:eastAsia="仿宋_GB2312"/>
          <w:szCs w:val="30"/>
        </w:rPr>
      </w:pPr>
    </w:p>
    <w:p>
      <w:pPr>
        <w:autoSpaceDE w:val="0"/>
        <w:autoSpaceDN w:val="0"/>
        <w:adjustRightInd w:val="0"/>
        <w:spacing w:line="360" w:lineRule="auto"/>
        <w:jc w:val="left"/>
        <w:rPr>
          <w:rFonts w:ascii="仿宋_GB2312" w:hAnsi="仿宋" w:eastAsia="仿宋_GB2312" w:cs="仿宋_GB2312"/>
          <w:kern w:val="0"/>
          <w:sz w:val="30"/>
          <w:szCs w:val="30"/>
        </w:rPr>
      </w:pPr>
      <w:r>
        <w:rPr>
          <w:rFonts w:hint="eastAsia" w:ascii="仿宋_GB2312" w:eastAsia="仿宋_GB2312"/>
        </w:rPr>
        <w:drawing>
          <wp:inline distT="0" distB="0" distL="114300" distR="114300">
            <wp:extent cx="5463540" cy="3117215"/>
            <wp:effectExtent l="19050" t="0" r="3618"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3" cstate="print"/>
                    <a:stretch>
                      <a:fillRect/>
                    </a:stretch>
                  </pic:blipFill>
                  <pic:spPr>
                    <a:xfrm>
                      <a:off x="0" y="0"/>
                      <a:ext cx="5463732" cy="3117836"/>
                    </a:xfrm>
                    <a:prstGeom prst="rect">
                      <a:avLst/>
                    </a:prstGeom>
                    <a:noFill/>
                    <a:ln>
                      <a:noFill/>
                    </a:ln>
                  </pic:spPr>
                </pic:pic>
              </a:graphicData>
            </a:graphic>
          </wp:inline>
        </w:drawing>
      </w:r>
    </w:p>
    <w:p>
      <w:pPr>
        <w:widowControl/>
        <w:spacing w:line="600" w:lineRule="exact"/>
        <w:ind w:firstLine="640"/>
        <w:jc w:val="center"/>
        <w:rPr>
          <w:rFonts w:ascii="仿宋_GB2312" w:hAnsi="宋体" w:eastAsia="仿宋_GB2312"/>
          <w:b/>
          <w:sz w:val="32"/>
          <w:szCs w:val="32"/>
        </w:rPr>
      </w:pPr>
    </w:p>
    <w:p>
      <w:pPr>
        <w:widowControl/>
        <w:spacing w:line="600" w:lineRule="exact"/>
        <w:ind w:firstLine="640"/>
        <w:jc w:val="center"/>
        <w:rPr>
          <w:rFonts w:ascii="仿宋_GB2312" w:hAnsi="宋体" w:eastAsia="仿宋_GB2312"/>
          <w:b/>
          <w:sz w:val="32"/>
          <w:szCs w:val="32"/>
        </w:rPr>
      </w:pPr>
      <w:r>
        <w:rPr>
          <w:rFonts w:hint="eastAsia" w:ascii="仿宋_GB2312" w:hAnsi="宋体" w:eastAsia="仿宋_GB2312"/>
          <w:b/>
          <w:sz w:val="32"/>
          <w:szCs w:val="32"/>
        </w:rPr>
        <w:t>第三部分  2019年度部门决算情况说明</w:t>
      </w:r>
    </w:p>
    <w:p>
      <w:pPr>
        <w:ind w:firstLine="630"/>
        <w:jc w:val="left"/>
        <w:rPr>
          <w:rFonts w:ascii="仿宋_GB2312" w:hAnsi="仿宋" w:eastAsia="仿宋_GB2312"/>
          <w:sz w:val="30"/>
          <w:szCs w:val="30"/>
        </w:rPr>
      </w:pPr>
    </w:p>
    <w:p>
      <w:pPr>
        <w:ind w:firstLine="630"/>
        <w:jc w:val="left"/>
        <w:rPr>
          <w:rFonts w:ascii="仿宋_GB2312" w:hAnsi="黑体" w:eastAsia="仿宋_GB2312"/>
          <w:b/>
          <w:sz w:val="30"/>
          <w:szCs w:val="30"/>
        </w:rPr>
      </w:pPr>
      <w:r>
        <w:rPr>
          <w:rFonts w:hint="eastAsia" w:ascii="仿宋_GB2312" w:hAnsi="黑体" w:eastAsia="仿宋_GB2312"/>
          <w:b/>
          <w:sz w:val="30"/>
          <w:szCs w:val="30"/>
        </w:rPr>
        <w:t>一、收入决算情况说明</w:t>
      </w:r>
    </w:p>
    <w:p>
      <w:pPr>
        <w:ind w:firstLine="630"/>
        <w:jc w:val="left"/>
        <w:rPr>
          <w:rFonts w:ascii="仿宋_GB2312" w:hAnsi="仿宋" w:eastAsia="仿宋_GB2312"/>
          <w:sz w:val="30"/>
          <w:szCs w:val="30"/>
        </w:rPr>
      </w:pPr>
      <w:r>
        <w:rPr>
          <w:rFonts w:hint="eastAsia" w:ascii="仿宋_GB2312" w:hAnsi="仿宋" w:eastAsia="仿宋_GB2312"/>
          <w:sz w:val="30"/>
          <w:szCs w:val="30"/>
        </w:rPr>
        <w:t>本部门2019年度收入总计  802.44  万元，其中年初结转和结余 225.76 万元，较2018年（减少） 12.26 万元，（下降）5.15  %；本年收入合计 576.67 万元，较2018年增加9.74万元，增长 1.72 %。</w:t>
      </w:r>
    </w:p>
    <w:p>
      <w:pPr>
        <w:ind w:firstLine="630"/>
        <w:jc w:val="left"/>
        <w:rPr>
          <w:rFonts w:ascii="仿宋_GB2312" w:hAnsi="仿宋" w:eastAsia="仿宋_GB2312"/>
          <w:sz w:val="30"/>
          <w:szCs w:val="30"/>
        </w:rPr>
      </w:pPr>
      <w:r>
        <w:rPr>
          <w:rFonts w:hint="eastAsia" w:ascii="仿宋_GB2312" w:hAnsi="仿宋" w:eastAsia="仿宋_GB2312"/>
          <w:sz w:val="30"/>
          <w:szCs w:val="30"/>
        </w:rPr>
        <w:t xml:space="preserve">本年收入的具体构成为：财政拨款收入 576.67 万元，占 100 %；事业收入  0 万元，占 0 %；经营收入 0  万元，占 0 %；其他收入  0 万元，占 0 %。  </w:t>
      </w:r>
    </w:p>
    <w:p>
      <w:pPr>
        <w:ind w:firstLine="630"/>
        <w:jc w:val="left"/>
        <w:rPr>
          <w:rFonts w:ascii="仿宋_GB2312" w:hAnsi="黑体" w:eastAsia="仿宋_GB2312"/>
          <w:b/>
          <w:sz w:val="30"/>
          <w:szCs w:val="30"/>
        </w:rPr>
      </w:pPr>
      <w:r>
        <w:rPr>
          <w:rFonts w:hint="eastAsia" w:ascii="仿宋_GB2312" w:hAnsi="黑体" w:eastAsia="仿宋_GB2312"/>
          <w:b/>
          <w:sz w:val="30"/>
          <w:szCs w:val="30"/>
        </w:rPr>
        <w:t>二、支出决算情况说明</w:t>
      </w:r>
    </w:p>
    <w:p>
      <w:pPr>
        <w:ind w:firstLine="630"/>
        <w:jc w:val="left"/>
        <w:rPr>
          <w:rFonts w:ascii="仿宋_GB2312" w:hAnsi="仿宋" w:eastAsia="仿宋_GB2312"/>
          <w:sz w:val="30"/>
          <w:szCs w:val="30"/>
        </w:rPr>
      </w:pPr>
      <w:r>
        <w:rPr>
          <w:rFonts w:hint="eastAsia" w:ascii="仿宋_GB2312" w:hAnsi="仿宋" w:eastAsia="仿宋_GB2312"/>
          <w:sz w:val="30"/>
          <w:szCs w:val="30"/>
        </w:rPr>
        <w:t>本部门2019年度支出总计  802.44  万元，其中本年支出合计 717.05  万元，较2018年（减少） 23.68 万元,（下降） 3.2 %；年末结转和结余  85.39 万元，较2018年（减少）140.37万元，（下降）62.18%，主要原因是：盘活存量资金,本年收不抵支，事业基金弥补161.54万元。</w:t>
      </w:r>
    </w:p>
    <w:p>
      <w:pPr>
        <w:ind w:firstLine="630"/>
        <w:jc w:val="left"/>
        <w:rPr>
          <w:rFonts w:ascii="仿宋_GB2312" w:hAnsi="仿宋" w:eastAsia="仿宋_GB2312"/>
          <w:sz w:val="30"/>
          <w:szCs w:val="30"/>
        </w:rPr>
      </w:pPr>
      <w:r>
        <w:rPr>
          <w:rFonts w:hint="eastAsia" w:ascii="仿宋_GB2312" w:hAnsi="仿宋" w:eastAsia="仿宋_GB2312"/>
          <w:sz w:val="30"/>
          <w:szCs w:val="30"/>
        </w:rPr>
        <w:t>本年支出的具体构成为：基本支出  355.93 万元，占 49.64 %；项目支出  361.12 万元，占 50.36  %；经营支出  0 万元，占 0 %；其他支出（对附属单位补助支出、上缴上级支出）  0 万元，占 0 %。</w:t>
      </w:r>
    </w:p>
    <w:p>
      <w:pPr>
        <w:ind w:firstLine="630"/>
        <w:jc w:val="left"/>
        <w:rPr>
          <w:rFonts w:ascii="仿宋_GB2312" w:hAnsi="黑体" w:eastAsia="仿宋_GB2312"/>
          <w:b/>
          <w:sz w:val="30"/>
          <w:szCs w:val="30"/>
        </w:rPr>
      </w:pPr>
      <w:r>
        <w:rPr>
          <w:rFonts w:hint="eastAsia" w:ascii="仿宋_GB2312" w:hAnsi="黑体" w:eastAsia="仿宋_GB2312"/>
          <w:b/>
          <w:sz w:val="30"/>
          <w:szCs w:val="30"/>
        </w:rPr>
        <w:t>三、财政拨款支出决算情况说明</w:t>
      </w:r>
    </w:p>
    <w:p>
      <w:pPr>
        <w:ind w:firstLine="630"/>
        <w:jc w:val="left"/>
        <w:rPr>
          <w:rFonts w:ascii="仿宋_GB2312" w:hAnsi="仿宋" w:eastAsia="仿宋_GB2312"/>
          <w:sz w:val="30"/>
          <w:szCs w:val="30"/>
        </w:rPr>
      </w:pPr>
      <w:r>
        <w:rPr>
          <w:rFonts w:hint="eastAsia" w:ascii="仿宋_GB2312" w:hAnsi="仿宋" w:eastAsia="仿宋_GB2312"/>
          <w:sz w:val="30"/>
          <w:szCs w:val="30"/>
        </w:rPr>
        <w:t>本部门2019年度财政拨款本年支出年初预算数为  574.50 万元，决算数为 555.51 万元，完成年初预算的 96.69 %。其中：</w:t>
      </w:r>
    </w:p>
    <w:p>
      <w:pPr>
        <w:ind w:firstLine="630"/>
        <w:jc w:val="left"/>
        <w:rPr>
          <w:rFonts w:ascii="仿宋_GB2312" w:hAnsi="仿宋" w:eastAsia="仿宋_GB2312"/>
          <w:sz w:val="30"/>
          <w:szCs w:val="30"/>
        </w:rPr>
      </w:pPr>
      <w:r>
        <w:rPr>
          <w:rFonts w:hint="eastAsia" w:ascii="仿宋_GB2312" w:hAnsi="仿宋" w:eastAsia="仿宋_GB2312"/>
          <w:sz w:val="30"/>
          <w:szCs w:val="30"/>
        </w:rPr>
        <w:t>（一）一般公共服务支出年初预算数为  530.24 万元，决算数为511.04  万元，完成年初预算的 96.38 %，主要原因是：项目接待经费节省开支。</w:t>
      </w:r>
    </w:p>
    <w:p>
      <w:pPr>
        <w:ind w:firstLine="630"/>
        <w:jc w:val="left"/>
        <w:rPr>
          <w:rFonts w:ascii="仿宋_GB2312" w:hAnsi="仿宋" w:eastAsia="仿宋_GB2312"/>
          <w:sz w:val="30"/>
          <w:szCs w:val="30"/>
        </w:rPr>
      </w:pPr>
      <w:r>
        <w:rPr>
          <w:rFonts w:hint="eastAsia" w:ascii="仿宋_GB2312" w:hAnsi="仿宋" w:eastAsia="仿宋_GB2312"/>
          <w:sz w:val="30"/>
          <w:szCs w:val="30"/>
        </w:rPr>
        <w:t>（二）社会保障和就业支出年初预算数为 19.90  万元，决算数为 20.11 万元，完成年初预算的 101.05 %，主要原因是：年中调整增加预算0.21万元用于2人独生子女奖励费。</w:t>
      </w:r>
    </w:p>
    <w:p>
      <w:pPr>
        <w:ind w:firstLine="630"/>
        <w:jc w:val="left"/>
        <w:rPr>
          <w:rFonts w:ascii="仿宋_GB2312" w:hAnsi="仿宋" w:eastAsia="仿宋_GB2312"/>
          <w:sz w:val="30"/>
          <w:szCs w:val="30"/>
        </w:rPr>
      </w:pPr>
      <w:r>
        <w:rPr>
          <w:rFonts w:hint="eastAsia" w:ascii="仿宋_GB2312" w:hAnsi="仿宋" w:eastAsia="仿宋_GB2312"/>
          <w:sz w:val="30"/>
          <w:szCs w:val="30"/>
        </w:rPr>
        <w:t>（三）卫生健康支出年初预算数为 12.97  万元，决算数为12.97万元，完成年初预算的 100 %。</w:t>
      </w:r>
    </w:p>
    <w:p>
      <w:pPr>
        <w:ind w:firstLine="630"/>
        <w:jc w:val="left"/>
        <w:rPr>
          <w:rFonts w:ascii="仿宋_GB2312" w:hAnsi="仿宋" w:eastAsia="仿宋_GB2312"/>
          <w:sz w:val="30"/>
          <w:szCs w:val="30"/>
        </w:rPr>
      </w:pPr>
      <w:r>
        <w:rPr>
          <w:rFonts w:hint="eastAsia" w:ascii="仿宋_GB2312" w:hAnsi="仿宋" w:eastAsia="仿宋_GB2312"/>
          <w:sz w:val="30"/>
          <w:szCs w:val="30"/>
        </w:rPr>
        <w:t>（四）社会保障和就业支出年初预算数为  11.39 万元，决算数为 11.39 万元，完成年初预算的 100 %。</w:t>
      </w:r>
    </w:p>
    <w:p>
      <w:pPr>
        <w:ind w:firstLine="630"/>
        <w:jc w:val="left"/>
        <w:rPr>
          <w:rFonts w:ascii="仿宋_GB2312" w:hAnsi="仿宋" w:eastAsia="仿宋_GB2312"/>
          <w:sz w:val="30"/>
          <w:szCs w:val="30"/>
        </w:rPr>
      </w:pPr>
    </w:p>
    <w:p>
      <w:pPr>
        <w:ind w:firstLine="585"/>
        <w:jc w:val="left"/>
        <w:rPr>
          <w:rFonts w:ascii="仿宋_GB2312" w:hAnsi="黑体" w:eastAsia="仿宋_GB2312"/>
          <w:b/>
          <w:sz w:val="30"/>
          <w:szCs w:val="30"/>
        </w:rPr>
      </w:pPr>
      <w:r>
        <w:rPr>
          <w:rFonts w:hint="eastAsia" w:ascii="仿宋_GB2312" w:hAnsi="黑体" w:eastAsia="仿宋_GB2312"/>
          <w:b/>
          <w:sz w:val="30"/>
          <w:szCs w:val="30"/>
        </w:rPr>
        <w:t>四、一般公共预算财政拨款基本支出决算情况说明</w:t>
      </w:r>
    </w:p>
    <w:p>
      <w:pPr>
        <w:ind w:firstLine="585"/>
        <w:jc w:val="left"/>
        <w:rPr>
          <w:rFonts w:ascii="仿宋_GB2312" w:hAnsi="仿宋" w:eastAsia="仿宋_GB2312"/>
          <w:sz w:val="30"/>
          <w:szCs w:val="30"/>
        </w:rPr>
      </w:pPr>
      <w:r>
        <w:rPr>
          <w:rFonts w:hint="eastAsia" w:ascii="仿宋_GB2312" w:hAnsi="仿宋" w:eastAsia="仿宋_GB2312"/>
          <w:sz w:val="30"/>
          <w:szCs w:val="30"/>
        </w:rPr>
        <w:t>本部门2019年度一般公共预算财政拨款基本支出 194.39 万元，其中：</w:t>
      </w:r>
    </w:p>
    <w:p>
      <w:pPr>
        <w:ind w:firstLine="585"/>
        <w:jc w:val="left"/>
        <w:rPr>
          <w:rFonts w:ascii="仿宋_GB2312" w:hAnsi="仿宋" w:eastAsia="仿宋_GB2312"/>
          <w:sz w:val="30"/>
          <w:szCs w:val="30"/>
        </w:rPr>
      </w:pPr>
      <w:r>
        <w:rPr>
          <w:rFonts w:hint="eastAsia" w:ascii="仿宋_GB2312" w:hAnsi="仿宋" w:eastAsia="仿宋_GB2312"/>
          <w:sz w:val="30"/>
          <w:szCs w:val="30"/>
        </w:rPr>
        <w:t>（一）工资福利支出 176.46  万元，较2018年（减少） 26.04 万元，（下降） 12.85 %，主要原因是：调出1人。</w:t>
      </w:r>
    </w:p>
    <w:p>
      <w:pPr>
        <w:ind w:firstLine="585"/>
        <w:jc w:val="left"/>
        <w:rPr>
          <w:rFonts w:ascii="仿宋_GB2312" w:hAnsi="仿宋" w:eastAsia="仿宋_GB2312"/>
          <w:sz w:val="30"/>
          <w:szCs w:val="30"/>
        </w:rPr>
      </w:pPr>
      <w:r>
        <w:rPr>
          <w:rFonts w:hint="eastAsia" w:ascii="仿宋_GB2312" w:hAnsi="仿宋" w:eastAsia="仿宋_GB2312"/>
          <w:sz w:val="30"/>
          <w:szCs w:val="30"/>
        </w:rPr>
        <w:t>（二）商品和服务支出 17.72  万元，较2018年（减少） 67.15万元，（下降） 79.12 %，主要原因是：事业基金弥补66.05万元。</w:t>
      </w:r>
    </w:p>
    <w:p>
      <w:pPr>
        <w:ind w:firstLine="585"/>
        <w:jc w:val="left"/>
        <w:rPr>
          <w:rFonts w:ascii="仿宋_GB2312" w:hAnsi="仿宋" w:eastAsia="仿宋_GB2312"/>
          <w:sz w:val="30"/>
          <w:szCs w:val="30"/>
        </w:rPr>
      </w:pPr>
      <w:r>
        <w:rPr>
          <w:rFonts w:hint="eastAsia" w:ascii="仿宋_GB2312" w:hAnsi="仿宋" w:eastAsia="仿宋_GB2312"/>
          <w:sz w:val="30"/>
          <w:szCs w:val="30"/>
        </w:rPr>
        <w:t>（三）对个人和家庭补助支出  0.21 万元，较2018年（减少） 97.85 万元，（下降） 99.78 %，主要原因是：事业基金弥补支出69.8万元。</w:t>
      </w:r>
    </w:p>
    <w:p>
      <w:pPr>
        <w:ind w:firstLine="585"/>
        <w:jc w:val="left"/>
        <w:rPr>
          <w:rFonts w:ascii="仿宋_GB2312" w:hAnsi="仿宋" w:eastAsia="仿宋_GB2312"/>
          <w:sz w:val="30"/>
          <w:szCs w:val="30"/>
        </w:rPr>
      </w:pPr>
      <w:r>
        <w:rPr>
          <w:rFonts w:hint="eastAsia" w:ascii="仿宋_GB2312" w:hAnsi="仿宋" w:eastAsia="仿宋_GB2312"/>
          <w:sz w:val="30"/>
          <w:szCs w:val="30"/>
        </w:rPr>
        <w:t>（四）资本性支出  0 万元，较2018年（减少）1.77  万元，（下降） 100 %，主要原因是：项目支出资本性支出。</w:t>
      </w:r>
    </w:p>
    <w:p>
      <w:pPr>
        <w:ind w:firstLine="630"/>
        <w:jc w:val="left"/>
        <w:rPr>
          <w:rFonts w:ascii="仿宋_GB2312" w:hAnsi="黑体" w:eastAsia="仿宋_GB2312"/>
          <w:b/>
          <w:sz w:val="30"/>
          <w:szCs w:val="30"/>
        </w:rPr>
      </w:pPr>
      <w:r>
        <w:rPr>
          <w:rFonts w:hint="eastAsia" w:ascii="仿宋_GB2312" w:hAnsi="黑体" w:eastAsia="仿宋_GB2312"/>
          <w:b/>
          <w:sz w:val="30"/>
          <w:szCs w:val="30"/>
        </w:rPr>
        <w:t>五、一般公共预算财政拨款“三公”经费支出决算情况说明</w:t>
      </w:r>
    </w:p>
    <w:p>
      <w:pPr>
        <w:ind w:firstLine="630"/>
        <w:jc w:val="left"/>
        <w:rPr>
          <w:rFonts w:ascii="仿宋_GB2312" w:hAnsi="仿宋" w:eastAsia="仿宋_GB2312"/>
          <w:sz w:val="30"/>
          <w:szCs w:val="30"/>
        </w:rPr>
      </w:pPr>
      <w:r>
        <w:rPr>
          <w:rFonts w:hint="eastAsia" w:ascii="仿宋_GB2312" w:hAnsi="仿宋" w:eastAsia="仿宋_GB2312"/>
          <w:sz w:val="30"/>
          <w:szCs w:val="30"/>
        </w:rPr>
        <w:t>本部门2019年度一般公共预算财政拨款“三公”经费支出年初预算数为 440.47  万元，决算数为 295.46 万元，完成年初预算的 67.08 %，决算数较2018年（减少） 82.59 万元，（下降） 21.84 %，其中：</w:t>
      </w:r>
    </w:p>
    <w:p>
      <w:pPr>
        <w:ind w:firstLine="630"/>
        <w:jc w:val="left"/>
        <w:rPr>
          <w:rFonts w:ascii="仿宋_GB2312" w:hAnsi="仿宋" w:eastAsia="仿宋_GB2312"/>
          <w:sz w:val="30"/>
          <w:szCs w:val="30"/>
        </w:rPr>
      </w:pPr>
      <w:r>
        <w:rPr>
          <w:rFonts w:hint="eastAsia" w:ascii="仿宋_GB2312" w:hAnsi="仿宋" w:eastAsia="仿宋_GB2312"/>
          <w:sz w:val="30"/>
          <w:szCs w:val="30"/>
        </w:rPr>
        <w:t>（一）因公出国（境）支出年初预算数为 0  万元，决算数为 0 万元，完成年初预算的 0%，决算数较2018年增加（减少） 0 万元，增长（下降） 0 %。</w:t>
      </w:r>
    </w:p>
    <w:p>
      <w:pPr>
        <w:ind w:firstLine="630"/>
        <w:jc w:val="left"/>
        <w:rPr>
          <w:rFonts w:ascii="仿宋_GB2312" w:hAnsi="仿宋" w:eastAsia="仿宋_GB2312"/>
          <w:sz w:val="30"/>
          <w:szCs w:val="30"/>
        </w:rPr>
      </w:pPr>
      <w:r>
        <w:rPr>
          <w:rFonts w:hint="eastAsia" w:ascii="仿宋_GB2312" w:hAnsi="仿宋" w:eastAsia="仿宋_GB2312"/>
          <w:sz w:val="30"/>
          <w:szCs w:val="30"/>
        </w:rPr>
        <w:t>（二）公务接待费支出年初预算数为 412.70  万元，决算数为 274.41 万元，完成年初预算的 66.49%，决算数较2018年（减少） 79.08 万元，（下降） 22.37 %。决算数较年初预算数（减少）的主要原因是：节约开支,项目支出结转85.39万元。</w:t>
      </w:r>
    </w:p>
    <w:p>
      <w:pPr>
        <w:ind w:firstLine="630"/>
        <w:jc w:val="left"/>
        <w:rPr>
          <w:rFonts w:ascii="仿宋_GB2312" w:hAnsi="仿宋" w:eastAsia="仿宋_GB2312"/>
          <w:sz w:val="30"/>
          <w:szCs w:val="30"/>
        </w:rPr>
      </w:pPr>
      <w:r>
        <w:rPr>
          <w:rFonts w:hint="eastAsia" w:ascii="仿宋_GB2312" w:hAnsi="仿宋" w:eastAsia="仿宋_GB2312"/>
          <w:sz w:val="30"/>
          <w:szCs w:val="30"/>
        </w:rPr>
        <w:t>（三）公务用车购置及运行维护费支出 21.05  万元，其中公务用车购置年初预算数为  0 万元，决算数为 0 万元，完成年初预算的 0%，决算数较2018年增加（减少） 0 万元，增长（下降） 0 %。决算数较年初预算数增加（减少）的主要原因是：……；公务用车运行维护费支出年初预算数为  27.77 万元，决算数为 21.05 万元，完成年初预算的75.80 %，决算数较2018年（减少）3.51  万元，（下降） 14.29 %。决算数较年初预算数（减少）的主要原因是：节约开支。</w:t>
      </w:r>
    </w:p>
    <w:p>
      <w:pPr>
        <w:ind w:firstLine="630"/>
        <w:jc w:val="left"/>
        <w:rPr>
          <w:rFonts w:ascii="仿宋_GB2312" w:hAnsi="黑体" w:eastAsia="仿宋_GB2312"/>
          <w:b/>
          <w:sz w:val="30"/>
          <w:szCs w:val="30"/>
        </w:rPr>
      </w:pPr>
      <w:r>
        <w:rPr>
          <w:rFonts w:hint="eastAsia" w:ascii="仿宋_GB2312" w:hAnsi="黑体" w:eastAsia="仿宋_GB2312"/>
          <w:b/>
          <w:sz w:val="30"/>
          <w:szCs w:val="30"/>
        </w:rPr>
        <w:t>六、机关运行经费支出情况说明</w:t>
      </w:r>
    </w:p>
    <w:p>
      <w:pPr>
        <w:ind w:firstLine="630"/>
        <w:jc w:val="left"/>
        <w:rPr>
          <w:rFonts w:ascii="仿宋_GB2312" w:hAnsi="仿宋" w:eastAsia="仿宋_GB2312"/>
          <w:bCs/>
          <w:sz w:val="30"/>
          <w:szCs w:val="30"/>
        </w:rPr>
      </w:pPr>
      <w:r>
        <w:rPr>
          <w:rFonts w:hint="eastAsia" w:ascii="仿宋_GB2312" w:hAnsi="仿宋" w:eastAsia="仿宋_GB2312"/>
          <w:sz w:val="30"/>
          <w:szCs w:val="30"/>
        </w:rPr>
        <w:t>本部门2019年度机关运行经费支出  17.72 万元（与部门决算中行政单位和参照公务员法管理事业单位一般公共预算财政拨款基本支出中公用经费之和保持一致），较年初预算数（减少） 10.6 万元，（降低） 37.4 %，主要原因是：</w:t>
      </w:r>
      <w:r>
        <w:rPr>
          <w:rFonts w:hint="eastAsia" w:ascii="仿宋_GB2312" w:hAnsi="仿宋" w:eastAsia="仿宋_GB2312"/>
          <w:bCs/>
          <w:sz w:val="30"/>
          <w:szCs w:val="30"/>
        </w:rPr>
        <w:t>人员编制数量（减少）1人，落实过紧日子要求压减5%支出等。</w:t>
      </w:r>
    </w:p>
    <w:p>
      <w:pPr>
        <w:ind w:firstLine="630"/>
        <w:jc w:val="left"/>
        <w:rPr>
          <w:rFonts w:ascii="仿宋_GB2312" w:hAnsi="黑体" w:eastAsia="仿宋_GB2312"/>
          <w:b/>
          <w:sz w:val="30"/>
          <w:szCs w:val="30"/>
        </w:rPr>
      </w:pPr>
      <w:r>
        <w:rPr>
          <w:rFonts w:hint="eastAsia" w:ascii="仿宋_GB2312" w:hAnsi="黑体" w:eastAsia="仿宋_GB2312"/>
          <w:b/>
          <w:sz w:val="30"/>
          <w:szCs w:val="30"/>
        </w:rPr>
        <w:t>七、政府采购支出情况说明</w:t>
      </w:r>
    </w:p>
    <w:p>
      <w:pPr>
        <w:pStyle w:val="7"/>
        <w:spacing w:line="600" w:lineRule="atLeast"/>
        <w:ind w:firstLine="600"/>
        <w:rPr>
          <w:rFonts w:ascii="仿宋_GB2312" w:hAnsi="仿宋" w:eastAsia="仿宋_GB2312"/>
          <w:sz w:val="30"/>
          <w:szCs w:val="30"/>
        </w:rPr>
      </w:pPr>
      <w:r>
        <w:rPr>
          <w:rFonts w:hint="eastAsia" w:ascii="仿宋_GB2312" w:hAnsi="仿宋" w:eastAsia="仿宋_GB2312"/>
          <w:sz w:val="30"/>
          <w:szCs w:val="30"/>
        </w:rPr>
        <w:t>本部门2019年度政府采购支出总额 9.77 万元，其中：政府采购货物支出 9.77 万元、政府采购工程支出 0 万元、政府采购服务支出  0万元。授予中小企业合同金额 9.77 万元，占政府采购支出总额的 100 %，其中：授予小微企业合同金额  万元，占政府采购支出总额的  %。（省级部门公开的政府采购金额的计算口径为：本部门纳入2019年部门预算范围的各项政府采购支出金额之和，不包括涉密采购项目的支出金额。）</w:t>
      </w:r>
    </w:p>
    <w:p>
      <w:pPr>
        <w:ind w:firstLine="630"/>
        <w:jc w:val="left"/>
        <w:rPr>
          <w:rFonts w:ascii="仿宋_GB2312" w:hAnsi="黑体" w:eastAsia="仿宋_GB2312"/>
          <w:b/>
          <w:sz w:val="30"/>
          <w:szCs w:val="30"/>
        </w:rPr>
      </w:pPr>
      <w:r>
        <w:rPr>
          <w:rFonts w:hint="eastAsia" w:ascii="仿宋_GB2312" w:hAnsi="黑体" w:eastAsia="仿宋_GB2312"/>
          <w:b/>
          <w:sz w:val="30"/>
          <w:szCs w:val="30"/>
        </w:rPr>
        <w:t>八、国有资产占用情况说明。</w:t>
      </w:r>
    </w:p>
    <w:p>
      <w:pPr>
        <w:ind w:firstLine="630"/>
        <w:jc w:val="left"/>
        <w:rPr>
          <w:rFonts w:ascii="仿宋_GB2312" w:hAnsi="仿宋" w:eastAsia="仿宋_GB2312"/>
          <w:kern w:val="0"/>
          <w:sz w:val="30"/>
          <w:szCs w:val="30"/>
        </w:rPr>
      </w:pPr>
      <w:r>
        <w:rPr>
          <w:rFonts w:hint="eastAsia" w:ascii="仿宋_GB2312" w:hAnsi="仿宋" w:eastAsia="仿宋_GB2312"/>
          <w:kern w:val="0"/>
          <w:sz w:val="30"/>
          <w:szCs w:val="30"/>
        </w:rPr>
        <w:t>截止2019年12月31日，本部门国有资产占用情况见公开09表《国有资产占用情况表》。其中车辆中的其他用车主要是……。因车改后车辆归属权已划归机关事务管理局，但考虑工作需求，3台考斯特中巴车和1辆小车仍在我办使用，开支。</w:t>
      </w:r>
    </w:p>
    <w:p>
      <w:pPr>
        <w:ind w:firstLine="630"/>
        <w:jc w:val="left"/>
        <w:rPr>
          <w:rFonts w:ascii="仿宋_GB2312" w:hAnsi="黑体" w:eastAsia="仿宋_GB2312"/>
          <w:b/>
          <w:sz w:val="30"/>
          <w:szCs w:val="30"/>
        </w:rPr>
      </w:pPr>
      <w:r>
        <w:rPr>
          <w:rFonts w:hint="eastAsia" w:ascii="仿宋_GB2312" w:hAnsi="黑体" w:eastAsia="仿宋_GB2312"/>
          <w:b/>
          <w:sz w:val="30"/>
          <w:szCs w:val="30"/>
        </w:rPr>
        <w:t>九、预算绩效情况说明</w:t>
      </w:r>
    </w:p>
    <w:p>
      <w:pPr>
        <w:autoSpaceDE w:val="0"/>
        <w:autoSpaceDN w:val="0"/>
        <w:adjustRightInd w:val="0"/>
        <w:spacing w:line="360" w:lineRule="auto"/>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 xml:space="preserve">   （一）绩效管理工作开展情况。</w:t>
      </w:r>
    </w:p>
    <w:p>
      <w:pPr>
        <w:autoSpaceDE w:val="0"/>
        <w:autoSpaceDN w:val="0"/>
        <w:adjustRightInd w:val="0"/>
        <w:spacing w:line="360" w:lineRule="auto"/>
        <w:ind w:firstLine="600"/>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根据预算绩效管理要求，我部门组织对2019年度一般公共预算项目支出全面开展绩效自评，其中，一级项目 1 个，二级项目 1个，共涉及资金 361.11万元，占一般公共预算项目支出总额的 100 %。</w:t>
      </w:r>
    </w:p>
    <w:p>
      <w:pPr>
        <w:spacing w:line="600" w:lineRule="exact"/>
        <w:ind w:firstLine="600" w:firstLineChars="200"/>
        <w:rPr>
          <w:rFonts w:ascii="仿宋_GB2312" w:eastAsia="仿宋_GB2312" w:hAnsiTheme="minorEastAsia"/>
          <w:sz w:val="30"/>
          <w:szCs w:val="30"/>
        </w:rPr>
      </w:pPr>
      <w:r>
        <w:rPr>
          <w:rFonts w:hint="eastAsia" w:ascii="仿宋_GB2312" w:hAnsi="仿宋" w:eastAsia="仿宋_GB2312" w:cs="仿宋_GB2312"/>
          <w:kern w:val="0"/>
          <w:sz w:val="30"/>
          <w:szCs w:val="30"/>
        </w:rPr>
        <w:t xml:space="preserve">    组织对“市委市政府接待经费”等 1 个项目开展了部门评价，涉及一般公共预算支出 361.11 万元。从评价情况来看，本部门根据确定的绩效自评项目，负责将绩效项目协同各相关处室做好前期准备工作，根据内部职能分工，组织人秘、接待、车队、综合等有关处室具体实施评价工作；确定年初预算设定的绩效目标及指标值，实际完成值和绩效自评实事求是，数据准确、分值合理、结果客观；通过查看，收集部门相关佐证材料、核查分析。</w:t>
      </w:r>
    </w:p>
    <w:p>
      <w:pPr>
        <w:autoSpaceDE w:val="0"/>
        <w:autoSpaceDN w:val="0"/>
        <w:adjustRightInd w:val="0"/>
        <w:spacing w:line="360" w:lineRule="auto"/>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（请对预算绩效评价情况进行简单说明）。</w:t>
      </w:r>
    </w:p>
    <w:p>
      <w:pPr>
        <w:autoSpaceDE w:val="0"/>
        <w:autoSpaceDN w:val="0"/>
        <w:adjustRightInd w:val="0"/>
        <w:spacing w:line="360" w:lineRule="auto"/>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 xml:space="preserve">    （二）部门决算中项目绩效自评结果（选择1至2个项目）。</w:t>
      </w:r>
    </w:p>
    <w:p>
      <w:pPr>
        <w:autoSpaceDE w:val="0"/>
        <w:autoSpaceDN w:val="0"/>
        <w:adjustRightInd w:val="0"/>
        <w:spacing w:line="360" w:lineRule="auto"/>
        <w:ind w:firstLine="585"/>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我部门今年在省级部门决算中反映“市委市政府接待经费”项目绩效自评结果。</w:t>
      </w:r>
    </w:p>
    <w:p>
      <w:pPr>
        <w:spacing w:line="360" w:lineRule="auto"/>
        <w:ind w:firstLine="600" w:firstLineChars="200"/>
        <w:rPr>
          <w:rFonts w:ascii="仿宋_GB2312" w:hAnsi="仿宋" w:eastAsia="仿宋_GB2312"/>
          <w:bCs/>
          <w:color w:val="000000"/>
          <w:sz w:val="30"/>
          <w:szCs w:val="30"/>
        </w:rPr>
      </w:pPr>
      <w:r>
        <w:rPr>
          <w:rFonts w:hint="eastAsia" w:ascii="仿宋_GB2312" w:hAnsi="仿宋" w:eastAsia="仿宋_GB2312" w:cs="仿宋_GB2312"/>
          <w:kern w:val="0"/>
          <w:sz w:val="30"/>
          <w:szCs w:val="30"/>
        </w:rPr>
        <w:t>“市委市政府接待经费”项目绩效自评综述：根据年初设定的绩效目标，“市委市政府接待经费” 项目绩效自评得分为 97 分。项目全年预算数为 509.70 万元，执行数为361.11万元，完成预算的 71 %。主要产出和效果：</w:t>
      </w:r>
      <w:r>
        <w:rPr>
          <w:rFonts w:hint="eastAsia" w:ascii="仿宋_GB2312" w:hAnsi="仿宋" w:eastAsia="仿宋_GB2312" w:cs="仿宋"/>
          <w:sz w:val="30"/>
          <w:szCs w:val="30"/>
        </w:rPr>
        <w:t>今年1-12月共接待来宾562批近7898人次，其中省部级任务87批、警卫任务4批，接待了中央政治局常委、国务院总理李克强，国家原副主席李源潮，全国政协副主席、民革中央常务副主席郑建邦；成功做好了大型考察团和会议的服务保障工作，圆满完成了全国航空产业会，第十六届瓷博会，外国使节团和党政代表考察团的接待任务</w:t>
      </w:r>
      <w:r>
        <w:rPr>
          <w:rFonts w:hint="eastAsia" w:ascii="仿宋_GB2312" w:hAnsi="仿宋" w:eastAsia="仿宋_GB2312" w:cs="仿宋_GB2312"/>
          <w:kern w:val="0"/>
          <w:sz w:val="30"/>
          <w:szCs w:val="30"/>
        </w:rPr>
        <w:t>。发现的问题及原因：一是预算执行率偏低。</w:t>
      </w:r>
      <w:r>
        <w:rPr>
          <w:rFonts w:hint="eastAsia" w:ascii="仿宋_GB2312" w:hAnsi="仿宋" w:eastAsia="仿宋_GB2312"/>
          <w:bCs/>
          <w:color w:val="000000"/>
          <w:sz w:val="30"/>
          <w:szCs w:val="30"/>
        </w:rPr>
        <w:t>预算执行率偏低的原因主要是项目资金包含上年结转的资金109.7万元以及紫晶宾馆接待费月结对账付款滞后造成的。</w:t>
      </w:r>
      <w:r>
        <w:rPr>
          <w:rFonts w:hint="eastAsia" w:ascii="仿宋_GB2312" w:hAnsi="仿宋" w:eastAsia="仿宋_GB2312" w:cs="仿宋_GB2312"/>
          <w:kern w:val="0"/>
          <w:sz w:val="30"/>
          <w:szCs w:val="30"/>
        </w:rPr>
        <w:t>下一步改进措施：一是</w:t>
      </w:r>
      <w:r>
        <w:rPr>
          <w:rFonts w:hint="eastAsia" w:ascii="仿宋_GB2312" w:hAnsi="仿宋" w:eastAsia="仿宋_GB2312"/>
          <w:bCs/>
          <w:color w:val="000000"/>
          <w:sz w:val="30"/>
          <w:szCs w:val="30"/>
        </w:rPr>
        <w:t>严格执行财政预算管理制度，根据《中华人民共和国预算法》及《预算法实施条例》的有关规定，按照市财政局对部门预算管理的具体要求，及时准确、真实完整地编制部门预算，使预算编制更科学，更合理。严格做到所有财政资金按预算用途使用，支出真实合规，单位资产及负债均符合列报口径。</w:t>
      </w:r>
      <w:r>
        <w:rPr>
          <w:rFonts w:hint="eastAsia" w:ascii="仿宋_GB2312" w:hAnsi="仿宋" w:eastAsia="仿宋_GB2312" w:cs="仿宋_GB2312"/>
          <w:kern w:val="0"/>
          <w:sz w:val="30"/>
          <w:szCs w:val="30"/>
        </w:rPr>
        <w:t>；二是</w:t>
      </w:r>
      <w:r>
        <w:rPr>
          <w:rFonts w:hint="eastAsia" w:ascii="仿宋_GB2312" w:hAnsi="仿宋" w:eastAsia="仿宋_GB2312"/>
          <w:bCs/>
          <w:color w:val="000000"/>
          <w:sz w:val="30"/>
          <w:szCs w:val="30"/>
        </w:rPr>
        <w:t>紫晶宾馆接待费月结改成“一事一结”，及时对账付款。已经于2020年8月份开始整改到位</w:t>
      </w:r>
      <w:r>
        <w:rPr>
          <w:rFonts w:hint="eastAsia" w:ascii="仿宋_GB2312" w:hAnsi="仿宋" w:eastAsia="仿宋_GB2312" w:cs="仿宋_GB2312"/>
          <w:kern w:val="0"/>
          <w:sz w:val="30"/>
          <w:szCs w:val="30"/>
        </w:rPr>
        <w:t>。</w:t>
      </w:r>
    </w:p>
    <w:p>
      <w:pPr>
        <w:spacing w:line="600" w:lineRule="exact"/>
        <w:ind w:firstLine="600" w:firstLineChars="200"/>
        <w:rPr>
          <w:rFonts w:ascii="仿宋_GB2312" w:eastAsia="仿宋_GB2312" w:hAnsiTheme="minorEastAsia"/>
          <w:sz w:val="30"/>
          <w:szCs w:val="30"/>
        </w:rPr>
      </w:pPr>
      <w:r>
        <w:rPr>
          <w:rFonts w:hint="eastAsia" w:ascii="仿宋_GB2312" w:hAnsi="仿宋" w:eastAsia="仿宋_GB2312" w:cs="仿宋_GB2312"/>
          <w:kern w:val="0"/>
          <w:sz w:val="30"/>
          <w:szCs w:val="30"/>
        </w:rPr>
        <w:t>“市委市政府接待经费”项目绩效自评综述：</w:t>
      </w:r>
      <w:r>
        <w:rPr>
          <w:rFonts w:hint="eastAsia" w:ascii="仿宋_GB2312" w:eastAsia="仿宋_GB2312" w:hAnsiTheme="minorEastAsia"/>
          <w:sz w:val="30"/>
          <w:szCs w:val="30"/>
        </w:rPr>
        <w:t xml:space="preserve"> 2019年度专项接待经费投入合理、资金落实到位、使用规范透明、监督及时有效。</w:t>
      </w:r>
    </w:p>
    <w:p>
      <w:pPr>
        <w:autoSpaceDE w:val="0"/>
        <w:autoSpaceDN w:val="0"/>
        <w:adjustRightInd w:val="0"/>
        <w:spacing w:line="360" w:lineRule="auto"/>
        <w:ind w:firstLine="600"/>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在公开项目绩效自评综述的同时，需公开《项目支出绩效自评表》。</w:t>
      </w:r>
    </w:p>
    <w:p>
      <w:pPr>
        <w:autoSpaceDE w:val="0"/>
        <w:autoSpaceDN w:val="0"/>
        <w:adjustRightInd w:val="0"/>
        <w:spacing w:line="360" w:lineRule="auto"/>
        <w:ind w:firstLine="600"/>
        <w:jc w:val="left"/>
        <w:rPr>
          <w:rFonts w:ascii="仿宋_GB2312" w:hAnsi="仿宋" w:eastAsia="仿宋_GB2312" w:cs="仿宋_GB2312"/>
          <w:kern w:val="0"/>
          <w:sz w:val="30"/>
          <w:szCs w:val="30"/>
        </w:rPr>
      </w:pPr>
      <w:r>
        <w:rPr>
          <w:rFonts w:hint="eastAsia" w:ascii="仿宋_GB2312" w:hAnsi="黑体" w:eastAsia="仿宋_GB2312"/>
          <w:b/>
          <w:sz w:val="32"/>
          <w:szCs w:val="32"/>
        </w:rPr>
        <w:t>附件1：</w:t>
      </w:r>
    </w:p>
    <w:tbl>
      <w:tblPr>
        <w:tblStyle w:val="5"/>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2019   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市委市政府接待经费</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中共景德镇市委市政府接待办公室</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市接待办</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509.7万元</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509.7万元</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361.11万元</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71%</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400万元</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400万元</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109.7万元</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109.7万元</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实际完成情况</w:t>
            </w:r>
          </w:p>
        </w:tc>
      </w:tr>
      <w:tr>
        <w:tblPrEx>
          <w:tblCellMar>
            <w:top w:w="0" w:type="dxa"/>
            <w:left w:w="108" w:type="dxa"/>
            <w:bottom w:w="0" w:type="dxa"/>
            <w:right w:w="108" w:type="dxa"/>
          </w:tblCellMar>
        </w:tblPrEx>
        <w:trPr>
          <w:trHeight w:val="781"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通过公务接待活动促进本地经济社会发展，发挥接待的“窗口”作用，扩大景德镇影响力。通过重要的商务接待活动，促进招商引资协作。</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完成四套班子及有关部门签批的接待任务批次562批，接待任务人次7898人次。项目支出361.11万元。</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绩</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年度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实际</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偏差原因分析及改进措施</w:t>
            </w: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接待任务批次</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562</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接待任务人次</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7898</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接待任务质量达标率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接待任务按时接待率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成本节约率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29%</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效益指标</w:t>
            </w: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助推地方经济发展</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扩大景市社会影响力</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指标</w:t>
            </w: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接待来宾投诉率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零投诉</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零投诉</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bl>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widowControl/>
        <w:spacing w:line="600" w:lineRule="exact"/>
        <w:ind w:firstLine="640"/>
        <w:jc w:val="center"/>
        <w:rPr>
          <w:rFonts w:ascii="仿宋_GB2312" w:hAnsi="宋体" w:eastAsia="仿宋_GB2312"/>
          <w:b/>
          <w:sz w:val="32"/>
          <w:szCs w:val="32"/>
        </w:rPr>
      </w:pPr>
      <w:r>
        <w:rPr>
          <w:rFonts w:hint="eastAsia" w:ascii="仿宋_GB2312" w:hAnsi="宋体" w:eastAsia="仿宋_GB2312"/>
          <w:b/>
          <w:sz w:val="32"/>
          <w:szCs w:val="32"/>
        </w:rPr>
        <w:t>第四部分  名词解释</w:t>
      </w:r>
    </w:p>
    <w:p>
      <w:pPr>
        <w:pStyle w:val="7"/>
        <w:spacing w:line="600" w:lineRule="atLeast"/>
        <w:ind w:firstLine="600"/>
        <w:rPr>
          <w:rFonts w:ascii="仿宋_GB2312" w:hAnsi="仿宋" w:eastAsia="仿宋_GB2312"/>
          <w:sz w:val="30"/>
          <w:szCs w:val="30"/>
        </w:rPr>
      </w:pPr>
    </w:p>
    <w:p>
      <w:pPr>
        <w:widowControl/>
        <w:spacing w:line="580" w:lineRule="exact"/>
        <w:jc w:val="left"/>
        <w:rPr>
          <w:rFonts w:ascii="仿宋_GB2312" w:hAnsi="仿宋" w:eastAsia="仿宋_GB2312"/>
          <w:kern w:val="0"/>
          <w:sz w:val="30"/>
          <w:szCs w:val="30"/>
        </w:rPr>
      </w:pPr>
      <w:r>
        <w:rPr>
          <w:rFonts w:hint="eastAsia" w:ascii="仿宋_GB2312" w:hAnsi="仿宋" w:eastAsia="仿宋_GB2312"/>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pPr>
        <w:ind w:firstLine="630"/>
        <w:jc w:val="left"/>
        <w:rPr>
          <w:rFonts w:ascii="仿宋_GB2312" w:hAnsi="仿宋" w:eastAsia="仿宋_GB2312"/>
          <w:sz w:val="30"/>
          <w:szCs w:val="30"/>
        </w:rPr>
      </w:pPr>
    </w:p>
    <w:p>
      <w:pPr>
        <w:spacing w:line="360" w:lineRule="auto"/>
        <w:rPr>
          <w:rFonts w:ascii="仿宋_GB2312" w:eastAsia="仿宋_GB2312" w:hAnsiTheme="majorEastAsia"/>
          <w:b/>
          <w:sz w:val="28"/>
          <w:szCs w:val="28"/>
        </w:rPr>
      </w:pPr>
      <w:r>
        <w:rPr>
          <w:rFonts w:hint="eastAsia" w:ascii="仿宋_GB2312" w:eastAsia="仿宋_GB2312" w:hAnsiTheme="majorEastAsia"/>
          <w:b/>
          <w:sz w:val="28"/>
          <w:szCs w:val="28"/>
        </w:rPr>
        <w:t xml:space="preserve">一、收入科目 </w:t>
      </w:r>
    </w:p>
    <w:p>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 xml:space="preserve">（一）财政拨款：指市级财政当年拨付的资金。 </w:t>
      </w:r>
    </w:p>
    <w:p>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 xml:space="preserve">（二）上年结转和结余：填列2018年全部结转和结余的资金， 包括当年结转结余资金和历年滚存结转结余资金。 </w:t>
      </w:r>
    </w:p>
    <w:p>
      <w:pPr>
        <w:spacing w:line="360" w:lineRule="auto"/>
        <w:rPr>
          <w:rFonts w:ascii="仿宋_GB2312" w:eastAsia="仿宋_GB2312" w:hAnsiTheme="majorEastAsia"/>
          <w:b/>
          <w:sz w:val="28"/>
          <w:szCs w:val="28"/>
        </w:rPr>
      </w:pPr>
      <w:r>
        <w:rPr>
          <w:rFonts w:hint="eastAsia" w:ascii="仿宋_GB2312" w:eastAsia="仿宋_GB2312" w:hAnsiTheme="majorEastAsia"/>
          <w:b/>
          <w:sz w:val="28"/>
          <w:szCs w:val="28"/>
        </w:rPr>
        <w:t xml:space="preserve">二、支出科目 </w:t>
      </w:r>
    </w:p>
    <w:p>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 xml:space="preserve">（一）一般公共服务支出（类）其他共产党事务支出（款）行政运行（项）：指反映行政单位（包括实行公务员管理的事业单位）的基本支出。 </w:t>
      </w:r>
    </w:p>
    <w:p>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 xml:space="preserve">（二）一般公共服务支出（类）其他共产党事务支出（款）其他共产党事务支出（项）：指反映上述项目以外其他用于中国共产党事务的支出。 </w:t>
      </w:r>
    </w:p>
    <w:p>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（三）社会保障和就业支出（类）行政事业单位离退休（款） 机关事业单位基本养老保险缴费支出（项）：指反映机关事业单位实施养老保险制度由单位缴纳的基本养老保险费支出。</w:t>
      </w:r>
    </w:p>
    <w:p>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 xml:space="preserve">（四）社会保障和就业支出（类）抚恤（款） 其他优抚支出（项）：指反映上述项目以外其他用于优抚方面的支出。 </w:t>
      </w:r>
    </w:p>
    <w:p>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 xml:space="preserve"> （五）卫生健康支出（类）行政事业单位医疗（款）行政单位医疗（项）：指反映财政部门安排的行政单位基本医疗保险缴费的经费，未参加医疗保险的行政单位的公费医疗缴费，按国家规定享受离休人员、红军老战士待遇人员的医疗经费。 </w:t>
      </w:r>
    </w:p>
    <w:p>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（六）卫生健康支出（类）行政事业单位医疗（款）公务员医疗补助（项）：指反映财政部门安排的公务员医疗补助经费。</w:t>
      </w:r>
    </w:p>
    <w:p>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 xml:space="preserve"> （七）卫生健康支出（类）行政事业单位医疗（款）其他行政事业单位医疗支出（项）：指反映除上述项目以外的其他用于行政事业单位医疗方面的支出。</w:t>
      </w:r>
    </w:p>
    <w:p>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（八）住房保障支出（类）住房改革支出（款）住房公积金（项）： 指反映行政事业单位按人力资源和社会保障部、财政部规定的基本工资和津贴补贴以及规定比例为职工缴纳的住房公积金。</w:t>
      </w:r>
    </w:p>
    <w:p>
      <w:pPr>
        <w:spacing w:line="360" w:lineRule="auto"/>
        <w:rPr>
          <w:rFonts w:ascii="仿宋_GB2312" w:eastAsia="仿宋_GB2312" w:hAnsiTheme="majorEastAsia"/>
          <w:b/>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b/>
          <w:sz w:val="28"/>
          <w:szCs w:val="28"/>
        </w:rPr>
        <w:t xml:space="preserve">三、 “三公”经费支出 </w:t>
      </w:r>
    </w:p>
    <w:p>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 xml:space="preserve">“三公”经费支出包括：因公出国（境）费、公务用车购置及运行维护费、公务接待费。 </w:t>
      </w:r>
    </w:p>
    <w:p>
      <w:pPr>
        <w:spacing w:line="360" w:lineRule="auto"/>
        <w:rPr>
          <w:rFonts w:ascii="仿宋_GB2312" w:eastAsia="仿宋_GB2312" w:hAnsiTheme="majorEastAsia"/>
          <w:b/>
          <w:sz w:val="28"/>
          <w:szCs w:val="28"/>
        </w:rPr>
      </w:pPr>
      <w:r>
        <w:rPr>
          <w:rFonts w:hint="eastAsia" w:ascii="仿宋_GB2312" w:eastAsia="仿宋_GB2312" w:hAnsiTheme="majorEastAsia"/>
          <w:b/>
          <w:sz w:val="28"/>
          <w:szCs w:val="28"/>
        </w:rPr>
        <w:t xml:space="preserve">四、机关运行经费支出 </w:t>
      </w:r>
    </w:p>
    <w:p>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rPr>
          <w:rFonts w:ascii="仿宋_GB2312" w:eastAsia="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12157"/>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56B7"/>
    <w:rsid w:val="000A1186"/>
    <w:rsid w:val="000A72AD"/>
    <w:rsid w:val="000F47F9"/>
    <w:rsid w:val="001461CB"/>
    <w:rsid w:val="00154B73"/>
    <w:rsid w:val="002956B7"/>
    <w:rsid w:val="002A7B7A"/>
    <w:rsid w:val="002B7DB5"/>
    <w:rsid w:val="002C4FD3"/>
    <w:rsid w:val="002E6402"/>
    <w:rsid w:val="002F2C7F"/>
    <w:rsid w:val="00350F9D"/>
    <w:rsid w:val="00367085"/>
    <w:rsid w:val="003D1AC9"/>
    <w:rsid w:val="00404DEA"/>
    <w:rsid w:val="00423AEE"/>
    <w:rsid w:val="00446C13"/>
    <w:rsid w:val="00457561"/>
    <w:rsid w:val="00470844"/>
    <w:rsid w:val="005675A0"/>
    <w:rsid w:val="00574ED8"/>
    <w:rsid w:val="006172EF"/>
    <w:rsid w:val="006873F7"/>
    <w:rsid w:val="006A7308"/>
    <w:rsid w:val="006E5582"/>
    <w:rsid w:val="00765585"/>
    <w:rsid w:val="00770210"/>
    <w:rsid w:val="00784DAC"/>
    <w:rsid w:val="007A4B4A"/>
    <w:rsid w:val="007B44C0"/>
    <w:rsid w:val="007E2A4B"/>
    <w:rsid w:val="00824E4E"/>
    <w:rsid w:val="00845B08"/>
    <w:rsid w:val="0087070B"/>
    <w:rsid w:val="00874C2E"/>
    <w:rsid w:val="008C6E27"/>
    <w:rsid w:val="008C6EE7"/>
    <w:rsid w:val="0091799D"/>
    <w:rsid w:val="00947A78"/>
    <w:rsid w:val="009754B6"/>
    <w:rsid w:val="009A5BC3"/>
    <w:rsid w:val="009A5DFC"/>
    <w:rsid w:val="009A728D"/>
    <w:rsid w:val="009B18A6"/>
    <w:rsid w:val="009B3B60"/>
    <w:rsid w:val="009C1723"/>
    <w:rsid w:val="009D6E77"/>
    <w:rsid w:val="009F5E6D"/>
    <w:rsid w:val="00A15D0D"/>
    <w:rsid w:val="00A24EAA"/>
    <w:rsid w:val="00A347A3"/>
    <w:rsid w:val="00A83CBE"/>
    <w:rsid w:val="00A9445B"/>
    <w:rsid w:val="00AB5D5E"/>
    <w:rsid w:val="00AF27D5"/>
    <w:rsid w:val="00B1092B"/>
    <w:rsid w:val="00B26008"/>
    <w:rsid w:val="00BE1BB7"/>
    <w:rsid w:val="00BE5F02"/>
    <w:rsid w:val="00C00CD8"/>
    <w:rsid w:val="00C2326D"/>
    <w:rsid w:val="00C3170B"/>
    <w:rsid w:val="00CA3377"/>
    <w:rsid w:val="00D4726D"/>
    <w:rsid w:val="00DC0F06"/>
    <w:rsid w:val="00DD33D0"/>
    <w:rsid w:val="00DE2152"/>
    <w:rsid w:val="00DF24AA"/>
    <w:rsid w:val="00E111C5"/>
    <w:rsid w:val="00EF1822"/>
    <w:rsid w:val="00F53B09"/>
    <w:rsid w:val="00F90B88"/>
    <w:rsid w:val="00F97EE5"/>
    <w:rsid w:val="00FC16F4"/>
    <w:rsid w:val="00FD17E1"/>
    <w:rsid w:val="00FE519C"/>
    <w:rsid w:val="00FE6526"/>
    <w:rsid w:val="00FF6110"/>
    <w:rsid w:val="00FF7543"/>
    <w:rsid w:val="352A495A"/>
    <w:rsid w:val="644E6B2D"/>
    <w:rsid w:val="7B3A7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uiPriority w:val="0"/>
    <w:pPr>
      <w:widowControl/>
    </w:pPr>
    <w:rPr>
      <w:kern w:val="0"/>
      <w:szCs w:val="21"/>
    </w:rPr>
  </w:style>
  <w:style w:type="character" w:customStyle="1" w:styleId="8">
    <w:name w:val="批注框文本 Char"/>
    <w:basedOn w:val="6"/>
    <w:link w:val="2"/>
    <w:uiPriority w:val="0"/>
    <w:rPr>
      <w:kern w:val="2"/>
      <w:sz w:val="18"/>
      <w:szCs w:val="18"/>
    </w:rPr>
  </w:style>
  <w:style w:type="character" w:customStyle="1" w:styleId="9">
    <w:name w:val="页眉 Char"/>
    <w:basedOn w:val="6"/>
    <w:link w:val="4"/>
    <w:uiPriority w:val="0"/>
    <w:rPr>
      <w:kern w:val="2"/>
      <w:sz w:val="18"/>
      <w:szCs w:val="18"/>
    </w:rPr>
  </w:style>
  <w:style w:type="character" w:customStyle="1" w:styleId="10">
    <w:name w:val="页脚 Char"/>
    <w:basedOn w:val="6"/>
    <w:link w:val="3"/>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deepin.net.cn</Company>
  <Pages>18</Pages>
  <Words>920</Words>
  <Characters>5248</Characters>
  <Lines>43</Lines>
  <Paragraphs>12</Paragraphs>
  <TotalTime>0</TotalTime>
  <ScaleCrop>false</ScaleCrop>
  <LinksUpToDate>false</LinksUpToDate>
  <CharactersWithSpaces>6156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DELL</cp:lastModifiedBy>
  <cp:lastPrinted>2020-10-12T02:22:00Z</cp:lastPrinted>
  <dcterms:modified xsi:type="dcterms:W3CDTF">2020-10-12T07:17:23Z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