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65AA8">
      <w:pPr>
        <w:spacing w:line="600" w:lineRule="exact"/>
        <w:jc w:val="center"/>
        <w:rPr>
          <w:rFonts w:hint="eastAsia" w:ascii="黑体" w:eastAsia="黑体"/>
          <w:sz w:val="44"/>
          <w:szCs w:val="36"/>
          <w:lang w:val="en-US" w:eastAsia="zh-CN"/>
        </w:rPr>
      </w:pPr>
      <w:r>
        <w:rPr>
          <w:rFonts w:hint="eastAsia" w:ascii="黑体" w:eastAsia="黑体"/>
          <w:sz w:val="44"/>
          <w:szCs w:val="36"/>
          <w:lang w:val="en-US" w:eastAsia="zh-CN"/>
        </w:rPr>
        <w:t>景德镇市档案馆</w:t>
      </w:r>
    </w:p>
    <w:p w14:paraId="092B2EC9">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3E62F915">
      <w:pPr>
        <w:spacing w:line="600" w:lineRule="exact"/>
        <w:jc w:val="center"/>
        <w:rPr>
          <w:rFonts w:hint="eastAsia" w:ascii="黑体" w:eastAsia="黑体"/>
          <w:sz w:val="44"/>
          <w:szCs w:val="36"/>
        </w:rPr>
      </w:pPr>
    </w:p>
    <w:p w14:paraId="46B20190">
      <w:pPr>
        <w:spacing w:line="600" w:lineRule="exact"/>
        <w:jc w:val="center"/>
        <w:rPr>
          <w:rFonts w:hint="eastAsia" w:ascii="黑体" w:eastAsia="黑体"/>
          <w:sz w:val="40"/>
          <w:szCs w:val="36"/>
        </w:rPr>
      </w:pPr>
      <w:r>
        <w:rPr>
          <w:rFonts w:hint="eastAsia" w:ascii="黑体" w:eastAsia="黑体"/>
          <w:sz w:val="40"/>
          <w:szCs w:val="36"/>
        </w:rPr>
        <w:t>目    录</w:t>
      </w:r>
    </w:p>
    <w:p w14:paraId="61F276D2">
      <w:pPr>
        <w:widowControl/>
        <w:spacing w:line="600" w:lineRule="exact"/>
        <w:ind w:firstLine="640"/>
        <w:jc w:val="left"/>
        <w:rPr>
          <w:rFonts w:hint="eastAsia" w:ascii="仿宋_GB2312" w:eastAsia="仿宋_GB2312"/>
          <w:sz w:val="32"/>
          <w:szCs w:val="30"/>
        </w:rPr>
      </w:pPr>
    </w:p>
    <w:p w14:paraId="2590D322">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val="en-US" w:eastAsia="zh-CN"/>
        </w:rPr>
        <w:t>景德镇市档案馆</w:t>
      </w:r>
      <w:r>
        <w:rPr>
          <w:rFonts w:hint="eastAsia" w:ascii="黑体" w:hAnsi="黑体" w:eastAsia="黑体"/>
          <w:b/>
          <w:sz w:val="32"/>
          <w:szCs w:val="32"/>
        </w:rPr>
        <w:t>部门概况</w:t>
      </w:r>
    </w:p>
    <w:p w14:paraId="7093F577">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05F9EBD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2607B461">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56E8D9B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184A542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2E77F3B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0FB3787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66379E8D">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4DE5E5C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6F2BDD9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0DED28C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1B12480D">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1C47802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1AC2293C">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1D679F9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5133105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60F1EB3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5D58F14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4C1425B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6118E72B">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7DBBC74E">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4D766996">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75C71846">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70DAD091">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2A9B5342">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601CECE4">
      <w:pPr>
        <w:ind w:firstLine="630"/>
        <w:jc w:val="center"/>
        <w:rPr>
          <w:rFonts w:hint="eastAsia" w:ascii="宋体" w:hAnsi="宋体"/>
          <w:b/>
          <w:sz w:val="36"/>
          <w:szCs w:val="36"/>
        </w:rPr>
      </w:pPr>
    </w:p>
    <w:p w14:paraId="6A363010">
      <w:pPr>
        <w:ind w:firstLine="630"/>
        <w:jc w:val="center"/>
        <w:rPr>
          <w:rFonts w:hint="eastAsia" w:ascii="宋体" w:hAnsi="宋体"/>
          <w:b/>
          <w:sz w:val="36"/>
          <w:szCs w:val="36"/>
        </w:rPr>
      </w:pPr>
    </w:p>
    <w:p w14:paraId="4C8307A9">
      <w:pPr>
        <w:ind w:firstLine="630"/>
        <w:jc w:val="center"/>
        <w:rPr>
          <w:rFonts w:hint="eastAsia" w:ascii="宋体" w:hAnsi="宋体"/>
          <w:b/>
          <w:sz w:val="36"/>
          <w:szCs w:val="36"/>
        </w:rPr>
      </w:pPr>
    </w:p>
    <w:p w14:paraId="60B1DA75">
      <w:pPr>
        <w:ind w:firstLine="630"/>
        <w:jc w:val="center"/>
        <w:rPr>
          <w:rFonts w:hint="eastAsia" w:ascii="宋体" w:hAnsi="宋体"/>
          <w:b/>
          <w:sz w:val="36"/>
          <w:szCs w:val="36"/>
        </w:rPr>
      </w:pPr>
    </w:p>
    <w:p w14:paraId="327A7EA1">
      <w:pPr>
        <w:ind w:firstLine="630"/>
        <w:jc w:val="center"/>
        <w:rPr>
          <w:rFonts w:hint="eastAsia" w:ascii="宋体" w:hAnsi="宋体"/>
          <w:b/>
          <w:sz w:val="36"/>
          <w:szCs w:val="36"/>
        </w:rPr>
      </w:pPr>
    </w:p>
    <w:p w14:paraId="01DE9494">
      <w:pPr>
        <w:ind w:firstLine="630"/>
        <w:jc w:val="center"/>
        <w:rPr>
          <w:rFonts w:hint="eastAsia" w:ascii="宋体" w:hAnsi="宋体"/>
          <w:b/>
          <w:sz w:val="36"/>
          <w:szCs w:val="36"/>
        </w:rPr>
      </w:pPr>
    </w:p>
    <w:p w14:paraId="0C90EB3E">
      <w:pPr>
        <w:ind w:firstLine="630"/>
        <w:jc w:val="center"/>
        <w:rPr>
          <w:rFonts w:hint="eastAsia" w:ascii="宋体" w:hAnsi="宋体"/>
          <w:b/>
          <w:sz w:val="36"/>
          <w:szCs w:val="36"/>
        </w:rPr>
      </w:pPr>
    </w:p>
    <w:p w14:paraId="65AA9E17">
      <w:pPr>
        <w:ind w:firstLine="630"/>
        <w:jc w:val="center"/>
        <w:rPr>
          <w:rFonts w:hint="eastAsia" w:ascii="宋体" w:hAnsi="宋体"/>
          <w:b/>
          <w:sz w:val="36"/>
          <w:szCs w:val="36"/>
        </w:rPr>
      </w:pPr>
    </w:p>
    <w:p w14:paraId="0B59B7FB">
      <w:pPr>
        <w:jc w:val="both"/>
        <w:rPr>
          <w:rFonts w:hint="eastAsia" w:ascii="宋体" w:hAnsi="宋体"/>
          <w:b/>
          <w:sz w:val="36"/>
          <w:szCs w:val="36"/>
        </w:rPr>
      </w:pPr>
    </w:p>
    <w:p w14:paraId="6974D091">
      <w:pPr>
        <w:ind w:firstLine="630"/>
        <w:jc w:val="center"/>
        <w:rPr>
          <w:rFonts w:hint="eastAsia" w:ascii="宋体" w:hAnsi="宋体"/>
          <w:b/>
          <w:sz w:val="36"/>
          <w:szCs w:val="36"/>
        </w:rPr>
      </w:pPr>
    </w:p>
    <w:p w14:paraId="0862AFB1">
      <w:pPr>
        <w:ind w:firstLine="630"/>
        <w:jc w:val="center"/>
        <w:rPr>
          <w:rFonts w:hint="eastAsia" w:ascii="宋体" w:hAnsi="宋体"/>
          <w:b/>
          <w:sz w:val="36"/>
          <w:szCs w:val="36"/>
        </w:rPr>
      </w:pPr>
    </w:p>
    <w:p w14:paraId="6610F486">
      <w:pPr>
        <w:ind w:firstLine="630"/>
        <w:jc w:val="center"/>
        <w:rPr>
          <w:rFonts w:hint="eastAsia" w:ascii="宋体" w:hAnsi="宋体"/>
          <w:b/>
          <w:sz w:val="36"/>
          <w:szCs w:val="36"/>
        </w:rPr>
      </w:pPr>
    </w:p>
    <w:p w14:paraId="59C2CB90">
      <w:pPr>
        <w:ind w:firstLine="630"/>
        <w:jc w:val="center"/>
        <w:rPr>
          <w:rFonts w:hint="eastAsia" w:ascii="宋体" w:hAnsi="宋体"/>
          <w:b/>
          <w:sz w:val="36"/>
          <w:szCs w:val="36"/>
        </w:rPr>
      </w:pPr>
    </w:p>
    <w:p w14:paraId="2D6E9D5D">
      <w:pPr>
        <w:widowControl/>
        <w:spacing w:line="580" w:lineRule="exact"/>
        <w:jc w:val="center"/>
        <w:rPr>
          <w:rFonts w:hint="eastAsia" w:ascii="宋体" w:hAnsi="宋体"/>
          <w:b/>
          <w:sz w:val="32"/>
          <w:szCs w:val="30"/>
        </w:rPr>
      </w:pPr>
    </w:p>
    <w:p w14:paraId="402BD621">
      <w:pPr>
        <w:widowControl/>
        <w:spacing w:line="580" w:lineRule="exact"/>
        <w:jc w:val="center"/>
        <w:rPr>
          <w:rFonts w:hint="eastAsia" w:ascii="宋体" w:hAnsi="宋体"/>
          <w:b/>
          <w:sz w:val="32"/>
          <w:szCs w:val="30"/>
        </w:rPr>
      </w:pPr>
    </w:p>
    <w:p w14:paraId="2F1ED3F9">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val="en-US" w:eastAsia="zh-CN"/>
        </w:rPr>
        <w:t>景德镇市档案馆</w:t>
      </w:r>
      <w:r>
        <w:rPr>
          <w:rFonts w:hint="eastAsia" w:ascii="宋体" w:hAnsi="宋体"/>
          <w:b/>
          <w:sz w:val="32"/>
          <w:szCs w:val="32"/>
        </w:rPr>
        <w:t>部门</w:t>
      </w:r>
      <w:r>
        <w:rPr>
          <w:rFonts w:hint="eastAsia" w:ascii="宋体" w:hAnsi="宋体"/>
          <w:b/>
          <w:sz w:val="32"/>
          <w:szCs w:val="30"/>
        </w:rPr>
        <w:t>概况</w:t>
      </w:r>
    </w:p>
    <w:p w14:paraId="373A344C">
      <w:pPr>
        <w:ind w:firstLine="630"/>
        <w:jc w:val="center"/>
        <w:rPr>
          <w:rFonts w:hint="eastAsia"/>
          <w:sz w:val="32"/>
          <w:szCs w:val="32"/>
        </w:rPr>
      </w:pPr>
    </w:p>
    <w:p w14:paraId="41A890AE">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6B701CC8">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1、对全市档案事业实行统筹规划、宏观管理；编制档案事业中长期发展规划、年度工作要点并监督实施；组织、指导、检查、监督、协调市直机关和各县（市、区）的档案业务工作。</w:t>
      </w:r>
    </w:p>
    <w:p w14:paraId="0C73D57B">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2、按照党和国家的方针政策、法律法规，依法进行档案行政执法和监督。</w:t>
      </w:r>
    </w:p>
    <w:p w14:paraId="3B957714">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3、组织开展档案科学技术和理论研究，推进全市档案工作的科学化、标准化与现代化建设。</w:t>
      </w:r>
    </w:p>
    <w:p w14:paraId="3D32376B">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4、负责档案宣传工作，统一管理全市档案资料对外交流，协调全市档案工作中的外事活动。</w:t>
      </w:r>
    </w:p>
    <w:p w14:paraId="53A63614">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5、负责接收和统一管理市直机关的档案资料，保守党和国家机密，维护档案完整，确保档案万无一失。</w:t>
      </w:r>
    </w:p>
    <w:p w14:paraId="12725BB6">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6、协调指导市属各类档案局的接收范围，审查市档案局向社会开放档案的内容和控制范围。</w:t>
      </w:r>
    </w:p>
    <w:p w14:paraId="3EC26CC0">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7、负责调查、征集我市有关的散存在社会和其他门类的档案资料，不断丰富馆藏。</w:t>
      </w:r>
    </w:p>
    <w:p w14:paraId="51466124">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8、负责全市档案编研、信息开发、利用与管理，推进档案信息网络建设，充分发挥档案信息资源作用，为社会各方面提供服务。</w:t>
      </w:r>
    </w:p>
    <w:p w14:paraId="057BBA41">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9、制订全市档案干部队伍建设规划，组织档案专业教育和档案干部培训工作。</w:t>
      </w:r>
    </w:p>
    <w:p w14:paraId="22CB5101">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10、承办市委、市政府交办的其他事项。</w:t>
      </w:r>
    </w:p>
    <w:p w14:paraId="0776B378">
      <w:pPr>
        <w:jc w:val="left"/>
        <w:rPr>
          <w:rFonts w:hint="eastAsia" w:ascii="黑体" w:hAnsi="黑体" w:eastAsia="黑体"/>
          <w:sz w:val="30"/>
          <w:szCs w:val="30"/>
        </w:rPr>
      </w:pPr>
      <w:r>
        <w:rPr>
          <w:rFonts w:hint="eastAsia" w:ascii="黑体" w:hAnsi="黑体" w:eastAsia="黑体"/>
          <w:sz w:val="30"/>
          <w:szCs w:val="30"/>
        </w:rPr>
        <w:t>二、部门基本情况</w:t>
      </w:r>
    </w:p>
    <w:p w14:paraId="2DBBEF52">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sz w:val="30"/>
          <w:szCs w:val="30"/>
        </w:rPr>
        <w:t>纳入本套部门决算汇编范围的单</w:t>
      </w:r>
      <w:r>
        <w:rPr>
          <w:rFonts w:hint="eastAsia" w:ascii="仿宋" w:hAnsi="仿宋" w:eastAsia="仿宋" w:cs="仿宋"/>
          <w:kern w:val="2"/>
          <w:sz w:val="28"/>
          <w:szCs w:val="28"/>
          <w:lang w:val="en-US" w:eastAsia="zh-CN" w:bidi="ar-SA"/>
        </w:rPr>
        <w:t>位共1个，包括： 景德镇市档案馆本级。</w:t>
      </w:r>
    </w:p>
    <w:p w14:paraId="561B8074">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本部门2019年年末编制人数22人，其中参照公务员管理的事业编制22人；年末实有人数22人，其中在职人员22人。</w:t>
      </w:r>
    </w:p>
    <w:p w14:paraId="4863E359">
      <w:pPr>
        <w:widowControl/>
        <w:spacing w:line="600" w:lineRule="exact"/>
        <w:jc w:val="both"/>
        <w:rPr>
          <w:rFonts w:hint="eastAsia" w:ascii="宋体" w:hAnsi="宋体"/>
          <w:b/>
          <w:sz w:val="32"/>
          <w:szCs w:val="32"/>
        </w:rPr>
      </w:pPr>
    </w:p>
    <w:p w14:paraId="316F82CB">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152AC872">
      <w:pPr>
        <w:autoSpaceDE w:val="0"/>
        <w:autoSpaceDN w:val="0"/>
        <w:adjustRightInd w:val="0"/>
        <w:spacing w:line="360" w:lineRule="auto"/>
        <w:jc w:val="left"/>
        <w:rPr>
          <w:rFonts w:hint="eastAsia"/>
          <w:szCs w:val="30"/>
        </w:rPr>
      </w:pPr>
    </w:p>
    <w:p w14:paraId="16BAA07D">
      <w:pPr>
        <w:autoSpaceDE w:val="0"/>
        <w:autoSpaceDN w:val="0"/>
        <w:adjustRightInd w:val="0"/>
        <w:spacing w:line="360" w:lineRule="auto"/>
        <w:jc w:val="left"/>
        <w:rPr>
          <w:rFonts w:hint="eastAsia"/>
          <w:szCs w:val="30"/>
        </w:rPr>
      </w:pPr>
      <w:r>
        <w:drawing>
          <wp:inline distT="0" distB="0" distL="114300" distR="114300">
            <wp:extent cx="5269230" cy="4916805"/>
            <wp:effectExtent l="0" t="0" r="762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4916805"/>
                    </a:xfrm>
                    <a:prstGeom prst="rect">
                      <a:avLst/>
                    </a:prstGeom>
                    <a:noFill/>
                    <a:ln>
                      <a:noFill/>
                    </a:ln>
                  </pic:spPr>
                </pic:pic>
              </a:graphicData>
            </a:graphic>
          </wp:inline>
        </w:drawing>
      </w:r>
    </w:p>
    <w:p w14:paraId="25A147F5">
      <w:pPr>
        <w:autoSpaceDE w:val="0"/>
        <w:autoSpaceDN w:val="0"/>
        <w:adjustRightInd w:val="0"/>
        <w:spacing w:line="360" w:lineRule="auto"/>
        <w:jc w:val="left"/>
        <w:rPr>
          <w:rFonts w:hint="eastAsia" w:ascii="仿宋" w:hAnsi="仿宋" w:eastAsia="仿宋" w:cs="仿宋_GB2312"/>
          <w:kern w:val="0"/>
          <w:sz w:val="30"/>
          <w:szCs w:val="30"/>
        </w:rPr>
      </w:pPr>
    </w:p>
    <w:p w14:paraId="3C34E442">
      <w:pPr>
        <w:autoSpaceDE w:val="0"/>
        <w:autoSpaceDN w:val="0"/>
        <w:adjustRightInd w:val="0"/>
        <w:spacing w:line="360" w:lineRule="auto"/>
        <w:jc w:val="left"/>
      </w:pPr>
      <w:r>
        <w:rPr>
          <w:rFonts w:hint="eastAsia" w:ascii="仿宋" w:hAnsi="仿宋" w:eastAsia="仿宋" w:cs="仿宋_GB2312"/>
          <w:kern w:val="0"/>
          <w:sz w:val="30"/>
          <w:szCs w:val="30"/>
        </w:rPr>
        <w:t xml:space="preserve"> </w:t>
      </w:r>
    </w:p>
    <w:p w14:paraId="7DFEB6CE">
      <w:pPr>
        <w:autoSpaceDE w:val="0"/>
        <w:autoSpaceDN w:val="0"/>
        <w:adjustRightInd w:val="0"/>
        <w:spacing w:line="360" w:lineRule="auto"/>
        <w:jc w:val="left"/>
      </w:pPr>
    </w:p>
    <w:p w14:paraId="1088CF46">
      <w:pPr>
        <w:autoSpaceDE w:val="0"/>
        <w:autoSpaceDN w:val="0"/>
        <w:adjustRightInd w:val="0"/>
        <w:spacing w:line="360" w:lineRule="auto"/>
        <w:jc w:val="left"/>
        <w:rPr>
          <w:rFonts w:hint="eastAsia"/>
        </w:rPr>
      </w:pPr>
      <w:r>
        <w:drawing>
          <wp:inline distT="0" distB="0" distL="114300" distR="114300">
            <wp:extent cx="5270500" cy="2374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0500" cy="2374900"/>
                    </a:xfrm>
                    <a:prstGeom prst="rect">
                      <a:avLst/>
                    </a:prstGeom>
                    <a:noFill/>
                    <a:ln>
                      <a:noFill/>
                    </a:ln>
                  </pic:spPr>
                </pic:pic>
              </a:graphicData>
            </a:graphic>
          </wp:inline>
        </w:drawing>
      </w:r>
      <w:r>
        <w:drawing>
          <wp:inline distT="0" distB="0" distL="114300" distR="114300">
            <wp:extent cx="5265420" cy="2699385"/>
            <wp:effectExtent l="0" t="0" r="1143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5420" cy="2699385"/>
                    </a:xfrm>
                    <a:prstGeom prst="rect">
                      <a:avLst/>
                    </a:prstGeom>
                    <a:noFill/>
                    <a:ln>
                      <a:noFill/>
                    </a:ln>
                  </pic:spPr>
                </pic:pic>
              </a:graphicData>
            </a:graphic>
          </wp:inline>
        </w:drawing>
      </w:r>
      <w:r>
        <w:drawing>
          <wp:inline distT="0" distB="0" distL="114300" distR="114300">
            <wp:extent cx="5272405" cy="4261485"/>
            <wp:effectExtent l="0" t="0" r="444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2405" cy="4261485"/>
                    </a:xfrm>
                    <a:prstGeom prst="rect">
                      <a:avLst/>
                    </a:prstGeom>
                    <a:noFill/>
                    <a:ln>
                      <a:noFill/>
                    </a:ln>
                  </pic:spPr>
                </pic:pic>
              </a:graphicData>
            </a:graphic>
          </wp:inline>
        </w:drawing>
      </w:r>
    </w:p>
    <w:p w14:paraId="3950240C">
      <w:pPr>
        <w:autoSpaceDE w:val="0"/>
        <w:autoSpaceDN w:val="0"/>
        <w:adjustRightInd w:val="0"/>
        <w:spacing w:line="360" w:lineRule="auto"/>
        <w:jc w:val="left"/>
        <w:rPr>
          <w:rFonts w:hint="eastAsia" w:ascii="宋体" w:hAnsi="宋体"/>
          <w:b/>
          <w:sz w:val="32"/>
          <w:szCs w:val="32"/>
        </w:rPr>
      </w:pPr>
      <w:r>
        <w:drawing>
          <wp:inline distT="0" distB="0" distL="114300" distR="114300">
            <wp:extent cx="5267960" cy="3648075"/>
            <wp:effectExtent l="0" t="0" r="889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67960" cy="3648075"/>
                    </a:xfrm>
                    <a:prstGeom prst="rect">
                      <a:avLst/>
                    </a:prstGeom>
                    <a:noFill/>
                    <a:ln>
                      <a:noFill/>
                    </a:ln>
                  </pic:spPr>
                </pic:pic>
              </a:graphicData>
            </a:graphic>
          </wp:inline>
        </w:drawing>
      </w:r>
      <w:r>
        <w:rPr>
          <w:rFonts w:hint="eastAsia" w:eastAsia="宋体"/>
          <w:szCs w:val="30"/>
          <w:lang w:eastAsia="zh-CN"/>
        </w:rPr>
        <w:drawing>
          <wp:inline distT="0" distB="0" distL="114300" distR="114300">
            <wp:extent cx="5121275" cy="8853805"/>
            <wp:effectExtent l="0" t="0" r="3175" b="4445"/>
            <wp:docPr id="7" name="图片 7" descr="16025865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02586575(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r>
        <w:drawing>
          <wp:inline distT="0" distB="0" distL="114300" distR="114300">
            <wp:extent cx="5271135" cy="4869815"/>
            <wp:effectExtent l="0" t="0" r="5715" b="698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0"/>
                    <a:stretch>
                      <a:fillRect/>
                    </a:stretch>
                  </pic:blipFill>
                  <pic:spPr>
                    <a:xfrm>
                      <a:off x="0" y="0"/>
                      <a:ext cx="5271135" cy="4869815"/>
                    </a:xfrm>
                    <a:prstGeom prst="rect">
                      <a:avLst/>
                    </a:prstGeom>
                    <a:noFill/>
                    <a:ln>
                      <a:noFill/>
                    </a:ln>
                  </pic:spPr>
                </pic:pic>
              </a:graphicData>
            </a:graphic>
          </wp:inline>
        </w:drawing>
      </w:r>
      <w:r>
        <w:drawing>
          <wp:inline distT="0" distB="0" distL="114300" distR="114300">
            <wp:extent cx="5265420" cy="1776730"/>
            <wp:effectExtent l="0" t="0" r="11430" b="1397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1"/>
                    <a:stretch>
                      <a:fillRect/>
                    </a:stretch>
                  </pic:blipFill>
                  <pic:spPr>
                    <a:xfrm>
                      <a:off x="0" y="0"/>
                      <a:ext cx="5265420" cy="1776730"/>
                    </a:xfrm>
                    <a:prstGeom prst="rect">
                      <a:avLst/>
                    </a:prstGeom>
                    <a:noFill/>
                    <a:ln>
                      <a:noFill/>
                    </a:ln>
                  </pic:spPr>
                </pic:pic>
              </a:graphicData>
            </a:graphic>
          </wp:inline>
        </w:drawing>
      </w:r>
      <w:r>
        <w:drawing>
          <wp:inline distT="0" distB="0" distL="114300" distR="114300">
            <wp:extent cx="5181600" cy="3286125"/>
            <wp:effectExtent l="0" t="0" r="0" b="952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2"/>
                    <a:stretch>
                      <a:fillRect/>
                    </a:stretch>
                  </pic:blipFill>
                  <pic:spPr>
                    <a:xfrm>
                      <a:off x="0" y="0"/>
                      <a:ext cx="5181600" cy="3286125"/>
                    </a:xfrm>
                    <a:prstGeom prst="rect">
                      <a:avLst/>
                    </a:prstGeom>
                    <a:noFill/>
                    <a:ln>
                      <a:noFill/>
                    </a:ln>
                  </pic:spPr>
                </pic:pic>
              </a:graphicData>
            </a:graphic>
          </wp:inline>
        </w:drawing>
      </w:r>
    </w:p>
    <w:p w14:paraId="4D6C03E9">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7AFD4364">
      <w:pPr>
        <w:ind w:firstLine="630"/>
        <w:jc w:val="left"/>
        <w:rPr>
          <w:rFonts w:hint="eastAsia" w:ascii="仿宋" w:hAnsi="仿宋" w:eastAsia="仿宋"/>
          <w:sz w:val="30"/>
          <w:szCs w:val="30"/>
        </w:rPr>
      </w:pPr>
    </w:p>
    <w:p w14:paraId="5C5B28CD">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1F45937D">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605.97</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11.93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97.01</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89.04</w:t>
      </w:r>
      <w:r>
        <w:rPr>
          <w:rFonts w:hint="eastAsia" w:ascii="仿宋" w:hAnsi="仿宋" w:eastAsia="仿宋"/>
          <w:sz w:val="30"/>
          <w:szCs w:val="30"/>
        </w:rPr>
        <w:t>%；本年收入合计</w:t>
      </w:r>
      <w:r>
        <w:rPr>
          <w:rFonts w:hint="eastAsia" w:ascii="仿宋" w:hAnsi="仿宋" w:eastAsia="仿宋"/>
          <w:sz w:val="30"/>
          <w:szCs w:val="30"/>
          <w:lang w:val="en-US" w:eastAsia="zh-CN"/>
        </w:rPr>
        <w:t>594.04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139.45</w:t>
      </w:r>
      <w:r>
        <w:rPr>
          <w:rFonts w:hint="eastAsia" w:ascii="仿宋" w:hAnsi="仿宋" w:eastAsia="仿宋"/>
          <w:sz w:val="30"/>
          <w:szCs w:val="30"/>
        </w:rPr>
        <w:t>万元，增长</w:t>
      </w:r>
      <w:r>
        <w:rPr>
          <w:rFonts w:hint="eastAsia" w:ascii="仿宋" w:hAnsi="仿宋" w:eastAsia="仿宋"/>
          <w:sz w:val="30"/>
          <w:szCs w:val="30"/>
          <w:lang w:val="en-US" w:eastAsia="zh-CN"/>
        </w:rPr>
        <w:t>23.47</w:t>
      </w:r>
      <w:r>
        <w:rPr>
          <w:rFonts w:hint="eastAsia" w:ascii="仿宋" w:hAnsi="仿宋" w:eastAsia="仿宋"/>
          <w:sz w:val="30"/>
          <w:szCs w:val="30"/>
        </w:rPr>
        <w:t>%，主要原因是：</w:t>
      </w:r>
      <w:r>
        <w:rPr>
          <w:rFonts w:hint="eastAsia" w:ascii="仿宋" w:hAnsi="仿宋" w:eastAsia="仿宋"/>
          <w:sz w:val="30"/>
          <w:szCs w:val="30"/>
          <w:lang w:val="en-US" w:eastAsia="zh-CN"/>
        </w:rPr>
        <w:t>2019年新馆搬运费等</w:t>
      </w:r>
      <w:r>
        <w:rPr>
          <w:rFonts w:hint="eastAsia" w:ascii="仿宋" w:hAnsi="仿宋" w:eastAsia="仿宋"/>
          <w:sz w:val="30"/>
          <w:szCs w:val="30"/>
        </w:rPr>
        <w:t>。</w:t>
      </w:r>
    </w:p>
    <w:p w14:paraId="27EF5756">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531.08</w:t>
      </w:r>
      <w:r>
        <w:rPr>
          <w:rFonts w:hint="eastAsia" w:ascii="仿宋" w:hAnsi="仿宋" w:eastAsia="仿宋"/>
          <w:sz w:val="30"/>
          <w:szCs w:val="30"/>
        </w:rPr>
        <w:t>万元，占</w:t>
      </w:r>
      <w:r>
        <w:rPr>
          <w:rFonts w:hint="eastAsia" w:ascii="仿宋" w:hAnsi="仿宋" w:eastAsia="仿宋"/>
          <w:sz w:val="30"/>
          <w:szCs w:val="30"/>
          <w:lang w:val="en-US" w:eastAsia="zh-CN"/>
        </w:rPr>
        <w:t>89.4</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62.96</w:t>
      </w:r>
      <w:r>
        <w:rPr>
          <w:rFonts w:hint="eastAsia" w:ascii="仿宋" w:hAnsi="仿宋" w:eastAsia="仿宋"/>
          <w:sz w:val="30"/>
          <w:szCs w:val="30"/>
        </w:rPr>
        <w:t>万元，占</w:t>
      </w:r>
      <w:r>
        <w:rPr>
          <w:rFonts w:hint="eastAsia" w:ascii="仿宋" w:hAnsi="仿宋" w:eastAsia="仿宋"/>
          <w:sz w:val="30"/>
          <w:szCs w:val="30"/>
          <w:lang w:val="en-US" w:eastAsia="zh-CN"/>
        </w:rPr>
        <w:t>10.59</w:t>
      </w:r>
      <w:r>
        <w:rPr>
          <w:rFonts w:hint="eastAsia" w:ascii="仿宋" w:hAnsi="仿宋" w:eastAsia="仿宋"/>
          <w:sz w:val="30"/>
          <w:szCs w:val="30"/>
        </w:rPr>
        <w:t xml:space="preserve">%。  </w:t>
      </w:r>
    </w:p>
    <w:p w14:paraId="0D8245C0">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02CEABA4">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605.97</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440.9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1.76</w:t>
      </w:r>
      <w:r>
        <w:rPr>
          <w:rFonts w:hint="eastAsia" w:ascii="仿宋" w:hAnsi="仿宋" w:eastAsia="仿宋"/>
          <w:sz w:val="30"/>
          <w:szCs w:val="30"/>
        </w:rPr>
        <w:t>万元，下降</w:t>
      </w:r>
      <w:r>
        <w:rPr>
          <w:rFonts w:hint="eastAsia" w:ascii="仿宋" w:hAnsi="仿宋" w:eastAsia="仿宋"/>
          <w:sz w:val="30"/>
          <w:szCs w:val="30"/>
          <w:lang w:val="en-US" w:eastAsia="zh-CN"/>
        </w:rPr>
        <w:t>0.39</w:t>
      </w:r>
      <w:r>
        <w:rPr>
          <w:rFonts w:hint="eastAsia" w:ascii="仿宋" w:hAnsi="仿宋" w:eastAsia="仿宋"/>
          <w:sz w:val="30"/>
          <w:szCs w:val="30"/>
        </w:rPr>
        <w:t>%，主要原因是：</w:t>
      </w:r>
      <w:r>
        <w:rPr>
          <w:rFonts w:hint="eastAsia" w:ascii="仿宋" w:hAnsi="仿宋" w:eastAsia="仿宋"/>
          <w:sz w:val="30"/>
          <w:szCs w:val="30"/>
          <w:lang w:eastAsia="zh-CN"/>
        </w:rPr>
        <w:t>正常开支</w:t>
      </w:r>
      <w:r>
        <w:rPr>
          <w:rFonts w:hint="eastAsia" w:ascii="仿宋" w:hAnsi="仿宋" w:eastAsia="仿宋"/>
          <w:sz w:val="30"/>
          <w:szCs w:val="30"/>
        </w:rPr>
        <w:t>；年末结转和结余</w:t>
      </w:r>
      <w:r>
        <w:rPr>
          <w:rFonts w:hint="eastAsia" w:ascii="仿宋" w:hAnsi="仿宋" w:eastAsia="仿宋"/>
          <w:sz w:val="30"/>
          <w:szCs w:val="30"/>
          <w:lang w:val="en-US" w:eastAsia="zh-CN"/>
        </w:rPr>
        <w:t>165.07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153.14</w:t>
      </w:r>
      <w:r>
        <w:rPr>
          <w:rFonts w:hint="eastAsia" w:ascii="仿宋" w:hAnsi="仿宋" w:eastAsia="仿宋"/>
          <w:sz w:val="30"/>
          <w:szCs w:val="30"/>
        </w:rPr>
        <w:t>万元，增长</w:t>
      </w:r>
      <w:r>
        <w:rPr>
          <w:rFonts w:hint="eastAsia" w:ascii="仿宋" w:hAnsi="仿宋" w:eastAsia="仿宋"/>
          <w:sz w:val="30"/>
          <w:szCs w:val="30"/>
          <w:lang w:val="en-US" w:eastAsia="zh-CN"/>
        </w:rPr>
        <w:t>92.21</w:t>
      </w:r>
      <w:r>
        <w:rPr>
          <w:rFonts w:hint="eastAsia" w:ascii="仿宋" w:hAnsi="仿宋" w:eastAsia="仿宋"/>
          <w:sz w:val="30"/>
          <w:szCs w:val="30"/>
        </w:rPr>
        <w:t xml:space="preserve"> %，主要原因是：</w:t>
      </w:r>
      <w:r>
        <w:rPr>
          <w:rFonts w:hint="eastAsia" w:ascii="仿宋" w:hAnsi="仿宋" w:eastAsia="仿宋"/>
          <w:sz w:val="30"/>
          <w:szCs w:val="30"/>
          <w:lang w:eastAsia="zh-CN"/>
        </w:rPr>
        <w:t>其他收入结余增加</w:t>
      </w:r>
      <w:r>
        <w:rPr>
          <w:rFonts w:hint="eastAsia" w:ascii="仿宋" w:hAnsi="仿宋" w:eastAsia="仿宋"/>
          <w:sz w:val="30"/>
          <w:szCs w:val="30"/>
        </w:rPr>
        <w:t>。</w:t>
      </w:r>
    </w:p>
    <w:p w14:paraId="55738FF5">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440.9</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5626941C">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54F32154">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362.98</w:t>
      </w:r>
      <w:r>
        <w:rPr>
          <w:rFonts w:hint="eastAsia" w:ascii="仿宋" w:hAnsi="仿宋" w:eastAsia="仿宋"/>
          <w:sz w:val="30"/>
          <w:szCs w:val="30"/>
        </w:rPr>
        <w:t>万元，决算数为</w:t>
      </w:r>
      <w:r>
        <w:rPr>
          <w:rFonts w:hint="eastAsia" w:ascii="仿宋" w:hAnsi="仿宋" w:eastAsia="仿宋"/>
          <w:sz w:val="30"/>
          <w:szCs w:val="30"/>
          <w:lang w:val="en-US" w:eastAsia="zh-CN"/>
        </w:rPr>
        <w:t>440.9</w:t>
      </w:r>
      <w:r>
        <w:rPr>
          <w:rFonts w:hint="eastAsia" w:ascii="仿宋" w:hAnsi="仿宋" w:eastAsia="仿宋"/>
          <w:sz w:val="30"/>
          <w:szCs w:val="30"/>
        </w:rPr>
        <w:t>万元，完成年初预算的</w:t>
      </w:r>
      <w:r>
        <w:rPr>
          <w:rFonts w:hint="eastAsia" w:ascii="仿宋" w:hAnsi="仿宋" w:eastAsia="仿宋"/>
          <w:sz w:val="30"/>
          <w:szCs w:val="30"/>
          <w:lang w:val="en-US" w:eastAsia="zh-CN"/>
        </w:rPr>
        <w:t>121.46</w:t>
      </w:r>
      <w:r>
        <w:rPr>
          <w:rFonts w:hint="eastAsia" w:ascii="仿宋" w:hAnsi="仿宋" w:eastAsia="仿宋"/>
          <w:sz w:val="30"/>
          <w:szCs w:val="30"/>
        </w:rPr>
        <w:t>%。其中：</w:t>
      </w:r>
    </w:p>
    <w:p w14:paraId="482FE855">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296.67</w:t>
      </w:r>
      <w:r>
        <w:rPr>
          <w:rFonts w:hint="eastAsia" w:ascii="仿宋" w:hAnsi="仿宋" w:eastAsia="仿宋"/>
          <w:sz w:val="30"/>
          <w:szCs w:val="30"/>
        </w:rPr>
        <w:t>万元，决算数为</w:t>
      </w:r>
      <w:r>
        <w:rPr>
          <w:rFonts w:hint="eastAsia" w:ascii="仿宋" w:hAnsi="仿宋" w:eastAsia="仿宋"/>
          <w:sz w:val="30"/>
          <w:szCs w:val="30"/>
          <w:lang w:val="en-US" w:eastAsia="zh-CN"/>
        </w:rPr>
        <w:t>311.63</w:t>
      </w:r>
      <w:r>
        <w:rPr>
          <w:rFonts w:hint="eastAsia" w:ascii="仿宋" w:hAnsi="仿宋" w:eastAsia="仿宋"/>
          <w:sz w:val="30"/>
          <w:szCs w:val="30"/>
        </w:rPr>
        <w:t>万元，完成年初预算的</w:t>
      </w:r>
      <w:r>
        <w:rPr>
          <w:rFonts w:hint="eastAsia" w:ascii="仿宋" w:hAnsi="仿宋" w:eastAsia="仿宋"/>
          <w:sz w:val="30"/>
          <w:szCs w:val="30"/>
          <w:lang w:val="en-US" w:eastAsia="zh-CN"/>
        </w:rPr>
        <w:t>105.04</w:t>
      </w:r>
      <w:r>
        <w:rPr>
          <w:rFonts w:hint="eastAsia" w:ascii="仿宋" w:hAnsi="仿宋" w:eastAsia="仿宋"/>
          <w:sz w:val="30"/>
          <w:szCs w:val="30"/>
        </w:rPr>
        <w:t>%，主要原因是：</w:t>
      </w:r>
      <w:r>
        <w:rPr>
          <w:rFonts w:hint="eastAsia" w:ascii="仿宋" w:hAnsi="仿宋" w:eastAsia="仿宋"/>
          <w:sz w:val="30"/>
          <w:szCs w:val="30"/>
          <w:lang w:eastAsia="zh-CN"/>
        </w:rPr>
        <w:t>人员经费和日常公用经费增加</w:t>
      </w:r>
      <w:r>
        <w:rPr>
          <w:rFonts w:hint="eastAsia" w:ascii="仿宋" w:hAnsi="仿宋" w:eastAsia="仿宋"/>
          <w:sz w:val="30"/>
          <w:szCs w:val="30"/>
        </w:rPr>
        <w:t>。</w:t>
      </w:r>
    </w:p>
    <w:p w14:paraId="63A91EE6">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28.05</w:t>
      </w:r>
      <w:r>
        <w:rPr>
          <w:rFonts w:hint="eastAsia" w:ascii="仿宋" w:hAnsi="仿宋" w:eastAsia="仿宋"/>
          <w:sz w:val="30"/>
          <w:szCs w:val="30"/>
        </w:rPr>
        <w:t>万元，决算数为</w:t>
      </w:r>
      <w:r>
        <w:rPr>
          <w:rFonts w:hint="eastAsia" w:ascii="仿宋" w:hAnsi="仿宋" w:eastAsia="仿宋"/>
          <w:sz w:val="30"/>
          <w:szCs w:val="30"/>
          <w:lang w:val="en-US" w:eastAsia="zh-CN"/>
        </w:rPr>
        <w:t>28.05</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30677C23">
      <w:pPr>
        <w:ind w:firstLine="630"/>
        <w:jc w:val="left"/>
        <w:rPr>
          <w:rFonts w:hint="eastAsia" w:ascii="仿宋" w:hAnsi="仿宋" w:eastAsia="仿宋"/>
          <w:sz w:val="30"/>
          <w:szCs w:val="30"/>
        </w:rPr>
      </w:pPr>
      <w:r>
        <w:rPr>
          <w:rFonts w:hint="eastAsia" w:ascii="仿宋" w:hAnsi="仿宋" w:eastAsia="仿宋"/>
          <w:sz w:val="30"/>
          <w:szCs w:val="30"/>
          <w:lang w:eastAsia="zh-CN"/>
        </w:rPr>
        <w:t>（三）卫生健康支出年初</w:t>
      </w:r>
      <w:r>
        <w:rPr>
          <w:rFonts w:hint="eastAsia" w:ascii="仿宋" w:hAnsi="仿宋" w:eastAsia="仿宋"/>
          <w:sz w:val="30"/>
          <w:szCs w:val="30"/>
        </w:rPr>
        <w:t>预算数为</w:t>
      </w:r>
      <w:r>
        <w:rPr>
          <w:rFonts w:hint="eastAsia" w:ascii="仿宋" w:hAnsi="仿宋" w:eastAsia="仿宋"/>
          <w:sz w:val="30"/>
          <w:szCs w:val="30"/>
          <w:lang w:val="en-US" w:eastAsia="zh-CN"/>
        </w:rPr>
        <w:t>22.17</w:t>
      </w:r>
      <w:r>
        <w:rPr>
          <w:rFonts w:hint="eastAsia" w:ascii="仿宋" w:hAnsi="仿宋" w:eastAsia="仿宋"/>
          <w:sz w:val="30"/>
          <w:szCs w:val="30"/>
        </w:rPr>
        <w:t>万元，决算数为</w:t>
      </w:r>
      <w:r>
        <w:rPr>
          <w:rFonts w:hint="eastAsia" w:ascii="仿宋" w:hAnsi="仿宋" w:eastAsia="仿宋"/>
          <w:sz w:val="30"/>
          <w:szCs w:val="30"/>
          <w:lang w:val="en-US" w:eastAsia="zh-CN"/>
        </w:rPr>
        <w:t>22.17</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5E91E264">
      <w:pPr>
        <w:ind w:firstLine="630"/>
        <w:jc w:val="left"/>
        <w:rPr>
          <w:rFonts w:hint="eastAsia" w:ascii="仿宋" w:hAnsi="仿宋" w:eastAsia="仿宋"/>
          <w:sz w:val="30"/>
          <w:szCs w:val="30"/>
        </w:rPr>
      </w:pPr>
      <w:r>
        <w:rPr>
          <w:rFonts w:hint="eastAsia" w:ascii="仿宋" w:hAnsi="仿宋" w:eastAsia="仿宋"/>
          <w:sz w:val="30"/>
          <w:szCs w:val="30"/>
          <w:lang w:eastAsia="zh-CN"/>
        </w:rPr>
        <w:t>（四）住房保障支出支出年初</w:t>
      </w:r>
      <w:r>
        <w:rPr>
          <w:rFonts w:hint="eastAsia" w:ascii="仿宋" w:hAnsi="仿宋" w:eastAsia="仿宋"/>
          <w:sz w:val="30"/>
          <w:szCs w:val="30"/>
        </w:rPr>
        <w:t>预算数为</w:t>
      </w:r>
      <w:r>
        <w:rPr>
          <w:rFonts w:hint="eastAsia" w:ascii="仿宋" w:hAnsi="仿宋" w:eastAsia="仿宋"/>
          <w:sz w:val="30"/>
          <w:szCs w:val="30"/>
          <w:lang w:val="en-US" w:eastAsia="zh-CN"/>
        </w:rPr>
        <w:t>16.09</w:t>
      </w:r>
      <w:r>
        <w:rPr>
          <w:rFonts w:hint="eastAsia" w:ascii="仿宋" w:hAnsi="仿宋" w:eastAsia="仿宋"/>
          <w:sz w:val="30"/>
          <w:szCs w:val="30"/>
        </w:rPr>
        <w:t>万元，决算数为</w:t>
      </w:r>
      <w:r>
        <w:rPr>
          <w:rFonts w:hint="eastAsia" w:ascii="仿宋" w:hAnsi="仿宋" w:eastAsia="仿宋"/>
          <w:sz w:val="30"/>
          <w:szCs w:val="30"/>
          <w:lang w:val="en-US" w:eastAsia="zh-CN"/>
        </w:rPr>
        <w:t>16.09</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59443947">
      <w:pPr>
        <w:ind w:firstLine="630"/>
        <w:jc w:val="left"/>
        <w:rPr>
          <w:rFonts w:hint="eastAsia"/>
          <w:lang w:eastAsia="zh-CN"/>
        </w:rPr>
      </w:pPr>
    </w:p>
    <w:p w14:paraId="1023ECFA">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097C5D16">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440.9</w:t>
      </w:r>
      <w:r>
        <w:rPr>
          <w:rFonts w:hint="eastAsia" w:ascii="仿宋" w:hAnsi="仿宋" w:eastAsia="仿宋"/>
          <w:sz w:val="30"/>
          <w:szCs w:val="30"/>
        </w:rPr>
        <w:t>万元，其中：</w:t>
      </w:r>
    </w:p>
    <w:p w14:paraId="220B8EA0">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366.84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2.86</w:t>
      </w:r>
      <w:r>
        <w:rPr>
          <w:rFonts w:hint="eastAsia" w:ascii="仿宋" w:hAnsi="仿宋" w:eastAsia="仿宋"/>
          <w:sz w:val="30"/>
          <w:szCs w:val="30"/>
        </w:rPr>
        <w:t>万元，增长</w:t>
      </w:r>
      <w:r>
        <w:rPr>
          <w:rFonts w:hint="eastAsia" w:ascii="仿宋" w:hAnsi="仿宋" w:eastAsia="仿宋"/>
          <w:sz w:val="30"/>
          <w:szCs w:val="30"/>
          <w:lang w:val="en-US" w:eastAsia="zh-CN"/>
        </w:rPr>
        <w:t>0.78</w:t>
      </w:r>
      <w:r>
        <w:rPr>
          <w:rFonts w:hint="eastAsia" w:ascii="仿宋" w:hAnsi="仿宋" w:eastAsia="仿宋"/>
          <w:sz w:val="30"/>
          <w:szCs w:val="30"/>
        </w:rPr>
        <w:t>%，主要原因是：</w:t>
      </w:r>
      <w:r>
        <w:rPr>
          <w:rFonts w:hint="eastAsia" w:ascii="仿宋" w:hAnsi="仿宋" w:eastAsia="仿宋"/>
          <w:sz w:val="30"/>
          <w:szCs w:val="30"/>
          <w:lang w:eastAsia="zh-CN"/>
        </w:rPr>
        <w:t>人员增资等</w:t>
      </w:r>
      <w:r>
        <w:rPr>
          <w:rFonts w:hint="eastAsia" w:ascii="仿宋" w:hAnsi="仿宋" w:eastAsia="仿宋"/>
          <w:sz w:val="30"/>
          <w:szCs w:val="30"/>
        </w:rPr>
        <w:t>。</w:t>
      </w:r>
    </w:p>
    <w:p w14:paraId="7B10ADBD">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70.08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23.84</w:t>
      </w:r>
      <w:r>
        <w:rPr>
          <w:rFonts w:hint="eastAsia" w:ascii="仿宋" w:hAnsi="仿宋" w:eastAsia="仿宋"/>
          <w:sz w:val="30"/>
          <w:szCs w:val="30"/>
        </w:rPr>
        <w:t>万元，增长</w:t>
      </w:r>
      <w:r>
        <w:rPr>
          <w:rFonts w:hint="eastAsia" w:ascii="仿宋" w:hAnsi="仿宋" w:eastAsia="仿宋"/>
          <w:sz w:val="30"/>
          <w:szCs w:val="30"/>
          <w:lang w:val="en-US" w:eastAsia="zh-CN"/>
        </w:rPr>
        <w:t>34.01</w:t>
      </w:r>
      <w:r>
        <w:rPr>
          <w:rFonts w:hint="eastAsia" w:ascii="仿宋" w:hAnsi="仿宋" w:eastAsia="仿宋"/>
          <w:sz w:val="30"/>
          <w:szCs w:val="30"/>
        </w:rPr>
        <w:t>%，主要原因是：</w:t>
      </w:r>
      <w:r>
        <w:rPr>
          <w:rFonts w:hint="eastAsia" w:ascii="仿宋" w:hAnsi="仿宋" w:eastAsia="仿宋"/>
          <w:sz w:val="30"/>
          <w:szCs w:val="30"/>
          <w:lang w:val="en-US" w:eastAsia="zh-CN"/>
        </w:rPr>
        <w:t>2019年搬新馆增加支出</w:t>
      </w:r>
      <w:r>
        <w:rPr>
          <w:rFonts w:hint="eastAsia" w:ascii="仿宋" w:hAnsi="仿宋" w:eastAsia="仿宋"/>
          <w:sz w:val="30"/>
          <w:szCs w:val="30"/>
        </w:rPr>
        <w:t>。</w:t>
      </w:r>
    </w:p>
    <w:p w14:paraId="7959D3A6">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3.98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26.45</w:t>
      </w:r>
      <w:r>
        <w:rPr>
          <w:rFonts w:hint="eastAsia" w:ascii="仿宋" w:hAnsi="仿宋" w:eastAsia="仿宋"/>
          <w:sz w:val="30"/>
          <w:szCs w:val="30"/>
        </w:rPr>
        <w:t>万元，下降</w:t>
      </w:r>
      <w:r>
        <w:rPr>
          <w:rFonts w:hint="eastAsia" w:ascii="仿宋" w:hAnsi="仿宋" w:eastAsia="仿宋"/>
          <w:sz w:val="30"/>
          <w:szCs w:val="30"/>
          <w:lang w:val="en-US" w:eastAsia="zh-CN"/>
        </w:rPr>
        <w:t>764.57</w:t>
      </w:r>
      <w:r>
        <w:rPr>
          <w:rFonts w:hint="eastAsia" w:ascii="仿宋" w:hAnsi="仿宋" w:eastAsia="仿宋"/>
          <w:sz w:val="30"/>
          <w:szCs w:val="30"/>
        </w:rPr>
        <w:t>%，主要原因是：</w:t>
      </w:r>
      <w:r>
        <w:rPr>
          <w:rFonts w:hint="eastAsia" w:ascii="仿宋" w:hAnsi="仿宋" w:eastAsia="仿宋"/>
          <w:b w:val="0"/>
          <w:bCs w:val="0"/>
          <w:sz w:val="30"/>
          <w:szCs w:val="30"/>
          <w:lang w:eastAsia="zh-CN"/>
        </w:rPr>
        <w:t>支出减少</w:t>
      </w:r>
      <w:r>
        <w:rPr>
          <w:rFonts w:hint="eastAsia" w:ascii="仿宋" w:hAnsi="仿宋" w:eastAsia="仿宋"/>
          <w:sz w:val="30"/>
          <w:szCs w:val="30"/>
        </w:rPr>
        <w:t>。</w:t>
      </w:r>
    </w:p>
    <w:p w14:paraId="75CDC1DB">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 xml:space="preserve"> %，主要原因是：</w:t>
      </w:r>
      <w:r>
        <w:rPr>
          <w:rFonts w:hint="eastAsia" w:ascii="仿宋" w:hAnsi="仿宋" w:eastAsia="仿宋"/>
          <w:sz w:val="30"/>
          <w:szCs w:val="30"/>
          <w:lang w:eastAsia="zh-CN"/>
        </w:rPr>
        <w:t>无资本性支出</w:t>
      </w:r>
      <w:r>
        <w:rPr>
          <w:rFonts w:hint="eastAsia" w:ascii="仿宋" w:hAnsi="仿宋" w:eastAsia="仿宋"/>
          <w:sz w:val="30"/>
          <w:szCs w:val="30"/>
        </w:rPr>
        <w:t>。</w:t>
      </w:r>
    </w:p>
    <w:p w14:paraId="77F19877">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79C01ACE">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2</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0.1</w:t>
      </w:r>
      <w:r>
        <w:rPr>
          <w:rFonts w:hint="eastAsia" w:ascii="仿宋" w:hAnsi="仿宋" w:eastAsia="仿宋"/>
          <w:sz w:val="30"/>
          <w:szCs w:val="30"/>
        </w:rPr>
        <w:t>万元，下降</w:t>
      </w:r>
      <w:r>
        <w:rPr>
          <w:rFonts w:hint="eastAsia" w:ascii="仿宋" w:hAnsi="仿宋" w:eastAsia="仿宋"/>
          <w:sz w:val="30"/>
          <w:szCs w:val="30"/>
          <w:lang w:val="en-US" w:eastAsia="zh-CN"/>
        </w:rPr>
        <w:t>100</w:t>
      </w:r>
      <w:r>
        <w:rPr>
          <w:rFonts w:hint="eastAsia" w:ascii="仿宋" w:hAnsi="仿宋" w:eastAsia="仿宋"/>
          <w:sz w:val="30"/>
          <w:szCs w:val="30"/>
        </w:rPr>
        <w:t>%，其中：</w:t>
      </w:r>
    </w:p>
    <w:p w14:paraId="1461EFFA">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w:t>
      </w:r>
    </w:p>
    <w:p w14:paraId="238C2F61">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2</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0.1</w:t>
      </w:r>
      <w:r>
        <w:rPr>
          <w:rFonts w:hint="eastAsia" w:ascii="仿宋" w:hAnsi="仿宋" w:eastAsia="仿宋"/>
          <w:sz w:val="30"/>
          <w:szCs w:val="30"/>
        </w:rPr>
        <w:t>万元，下降</w:t>
      </w:r>
      <w:r>
        <w:rPr>
          <w:rFonts w:hint="eastAsia" w:ascii="仿宋" w:hAnsi="仿宋" w:eastAsia="仿宋"/>
          <w:sz w:val="30"/>
          <w:szCs w:val="30"/>
          <w:lang w:val="en-US" w:eastAsia="zh-CN"/>
        </w:rPr>
        <w:t>100</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无接待单位人数</w:t>
      </w:r>
      <w:r>
        <w:rPr>
          <w:rFonts w:hint="eastAsia" w:ascii="仿宋" w:hAnsi="仿宋" w:eastAsia="仿宋"/>
          <w:sz w:val="30"/>
          <w:szCs w:val="30"/>
        </w:rPr>
        <w:t>。</w:t>
      </w:r>
    </w:p>
    <w:p w14:paraId="2FAC6B93">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w:t>
      </w:r>
      <w:r>
        <w:rPr>
          <w:rFonts w:hint="eastAsia" w:ascii="仿宋" w:hAnsi="仿宋" w:eastAsia="仿宋"/>
          <w:sz w:val="30"/>
          <w:szCs w:val="30"/>
          <w:lang w:val="en-US" w:eastAsia="zh-CN"/>
        </w:rPr>
        <w:t>0</w:t>
      </w:r>
      <w:r>
        <w:rPr>
          <w:rFonts w:hint="eastAsia" w:ascii="仿宋" w:hAnsi="仿宋" w:eastAsia="仿宋"/>
          <w:sz w:val="30"/>
          <w:szCs w:val="30"/>
        </w:rPr>
        <w:t>的主要原因是：</w:t>
      </w:r>
      <w:r>
        <w:rPr>
          <w:rFonts w:hint="eastAsia" w:ascii="仿宋" w:hAnsi="仿宋" w:eastAsia="仿宋"/>
          <w:sz w:val="30"/>
          <w:szCs w:val="30"/>
          <w:lang w:eastAsia="zh-CN"/>
        </w:rPr>
        <w:t>无支出</w:t>
      </w:r>
      <w:r>
        <w:rPr>
          <w:rFonts w:hint="eastAsia" w:ascii="仿宋" w:hAnsi="仿宋" w:eastAsia="仿宋"/>
          <w:sz w:val="30"/>
          <w:szCs w:val="30"/>
        </w:rPr>
        <w:t>。</w:t>
      </w:r>
    </w:p>
    <w:p w14:paraId="6C22A123">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0BB4F05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70.08</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14.22</w:t>
      </w:r>
      <w:r>
        <w:rPr>
          <w:rFonts w:hint="eastAsia" w:ascii="仿宋" w:hAnsi="仿宋" w:eastAsia="仿宋"/>
          <w:sz w:val="30"/>
          <w:szCs w:val="30"/>
        </w:rPr>
        <w:t>万元，增长</w:t>
      </w:r>
      <w:r>
        <w:rPr>
          <w:rFonts w:hint="eastAsia" w:ascii="仿宋" w:hAnsi="仿宋" w:eastAsia="仿宋"/>
          <w:sz w:val="30"/>
          <w:szCs w:val="30"/>
          <w:lang w:val="en-US" w:eastAsia="zh-CN"/>
        </w:rPr>
        <w:t>20.29</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2019年搬新馆增加支出</w:t>
      </w:r>
      <w:r>
        <w:rPr>
          <w:rFonts w:hint="eastAsia" w:ascii="仿宋" w:hAnsi="仿宋" w:eastAsia="仿宋"/>
          <w:sz w:val="30"/>
          <w:szCs w:val="30"/>
        </w:rPr>
        <w:t>。</w:t>
      </w:r>
    </w:p>
    <w:p w14:paraId="1785F916">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1896F79D">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20.56</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20.56</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7043C860">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6A9E831E">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14:paraId="154A3EC6">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17B7FEF5">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661307BC">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kern w:val="2"/>
          <w:sz w:val="28"/>
          <w:szCs w:val="28"/>
          <w:lang w:val="en-US" w:eastAsia="zh-CN" w:bidi="ar-SA"/>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支出全面开展绩效自评，</w:t>
      </w:r>
      <w:r>
        <w:rPr>
          <w:rFonts w:hint="eastAsia" w:ascii="仿宋" w:hAnsi="仿宋" w:eastAsia="仿宋" w:cs="仿宋"/>
          <w:kern w:val="2"/>
          <w:sz w:val="28"/>
          <w:szCs w:val="28"/>
          <w:lang w:val="en-US" w:eastAsia="zh-CN" w:bidi="ar-SA"/>
        </w:rPr>
        <w:t>总目标：2019年档案馆将在市委、市政府确领导下，以习近平新时代中国特色社会主义思想为指导，全面贯彻落实党的十九大和十九届二中、三中、四中全会精神和全国、全省档案工作会议精神，按照建设景德镇国家陶瓷文化传承创新试验区，打造与世界对话的国际瓷都的发展定位和打造富裕美丽幸福现代化江西景德镇样本的决策部署,扎实推进“不忘初心、牢记使命”主题教育，紧紧围绕全市各项中心工作，认真履行“为党管档、为国守史、为民服务”的职责，努力推进全市档案事业发展</w:t>
      </w:r>
      <w:r>
        <w:rPr>
          <w:rFonts w:hint="default" w:ascii="仿宋" w:hAnsi="仿宋" w:eastAsia="仿宋" w:cs="仿宋"/>
          <w:kern w:val="2"/>
          <w:sz w:val="28"/>
          <w:szCs w:val="28"/>
          <w:lang w:val="en-US" w:eastAsia="zh-CN" w:bidi="ar-SA"/>
        </w:rPr>
        <w:t>。</w:t>
      </w:r>
    </w:p>
    <w:p w14:paraId="230156B5">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绩效目标1：协助市委办开展机构改革期间档案业务指导工作。</w:t>
      </w:r>
    </w:p>
    <w:p w14:paraId="3E1C6E6E">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绩效目标2：做好档案安全风险排查整治工作。</w:t>
      </w:r>
    </w:p>
    <w:p w14:paraId="65E7BB09">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绩效目标3：围绕全市中心工作做好档案服务。</w:t>
      </w:r>
    </w:p>
    <w:p w14:paraId="7A29E2C4">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绩效目标4：档案查阅服务和陶瓷史料编辑工作。</w:t>
      </w:r>
    </w:p>
    <w:p w14:paraId="30D77800">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绩效目标5：接收第十五届省运会档案进馆。</w:t>
      </w:r>
    </w:p>
    <w:p w14:paraId="46D93446">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kern w:val="0"/>
          <w:sz w:val="30"/>
          <w:szCs w:val="30"/>
          <w:lang w:val="en-US" w:eastAsia="zh-CN"/>
        </w:rPr>
      </w:pPr>
      <w:r>
        <w:rPr>
          <w:rFonts w:hint="eastAsia" w:ascii="仿宋" w:hAnsi="仿宋" w:eastAsia="仿宋" w:cs="仿宋"/>
          <w:kern w:val="2"/>
          <w:sz w:val="28"/>
          <w:szCs w:val="28"/>
          <w:lang w:val="en-US" w:eastAsia="zh-CN" w:bidi="ar-SA"/>
        </w:rPr>
        <w:t>绩效目标6：启动馆藏档案全面清点整理工作。</w:t>
      </w:r>
    </w:p>
    <w:p w14:paraId="709806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14:paraId="66AC9B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绩效自评结果。</w:t>
      </w:r>
    </w:p>
    <w:p w14:paraId="3BCCF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绩效自评综述：</w:t>
      </w:r>
    </w:p>
    <w:p w14:paraId="07796DBC">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bookmarkStart w:id="0" w:name="_Toc27453_WPSOffice_Level2"/>
      <w:r>
        <w:rPr>
          <w:rFonts w:hint="eastAsia" w:ascii="仿宋" w:hAnsi="仿宋" w:eastAsia="仿宋" w:cs="仿宋"/>
          <w:kern w:val="2"/>
          <w:sz w:val="28"/>
          <w:szCs w:val="28"/>
          <w:lang w:val="en-US" w:eastAsia="zh-CN" w:bidi="ar-SA"/>
        </w:rPr>
        <w:t>（一）</w:t>
      </w:r>
      <w:bookmarkEnd w:id="0"/>
      <w:r>
        <w:rPr>
          <w:rFonts w:hint="eastAsia" w:ascii="仿宋" w:hAnsi="仿宋" w:eastAsia="仿宋" w:cs="仿宋"/>
          <w:kern w:val="2"/>
          <w:sz w:val="28"/>
          <w:szCs w:val="28"/>
          <w:lang w:val="en-US" w:eastAsia="zh-CN" w:bidi="ar-SA"/>
        </w:rPr>
        <w:t>主要经验及做法</w:t>
      </w:r>
    </w:p>
    <w:p w14:paraId="61E3B1E9">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bookmarkStart w:id="1" w:name="_Toc26819_WPSOffice_Level2"/>
      <w:r>
        <w:rPr>
          <w:rFonts w:hint="eastAsia" w:ascii="仿宋" w:hAnsi="仿宋" w:eastAsia="仿宋" w:cs="仿宋"/>
          <w:kern w:val="2"/>
          <w:sz w:val="28"/>
          <w:szCs w:val="28"/>
          <w:lang w:val="en-US" w:eastAsia="zh-CN" w:bidi="ar-SA"/>
        </w:rPr>
        <w:t>1.积极协助市委办开展机构改革期间档案业务指导工作。按照市委办下发的《关于在全市机构改革中加强档案工作的通知》，组织本馆专业人员协助市委办深入各涉改单位和县（市、区）档案馆进行档案业务指导。配合市委办做好2018年档案事业统计调查报表填报工作，指派机构改革前从事相关工作的同志积极配合市委办工作，及时通知全市各市直机关单位和四个县（市、区），共收集整理包括市、县两级共计160多家单位的报表数据，并对机构改革中档案统计的疑难问题的进行业务指导，配合市委办完成2018年度档案事业统计年报报送工作。</w:t>
      </w:r>
    </w:p>
    <w:p w14:paraId="74EEE495">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做好档案安全风险排查整治工作。根据江西省档案局下发的《江西省档案局转发国家档案局关于深入开展档案安全检查的紧急通知》和市委办下发的《关于深入开展档案安全风险排查整治工作的通知》等文件精神，及时做好本馆档案库房的安全风险排查工作，并派出两名业务骨干配合市委办对珠山区档案馆、昌江区档案馆、高新区、昌南新区等单位进行档案档案安全检查，确保市档案馆馆藏档案的绝对安全。</w:t>
      </w:r>
    </w:p>
    <w:p w14:paraId="49F53953">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3.围绕全市中心工作做好档案服务。一是认真按照市“双创双修”指挥部的工作部署，在搬入新馆后，对全馆环境统一谋划，开展机关环境卫生整治工作，并对新馆办公环境进行了美化、绿化、亮化。二是抽调2名业务骨干派驻“双创双修”工作指挥部，及时做好“双创双修”档案的收集整理工作。 </w:t>
      </w:r>
    </w:p>
    <w:p w14:paraId="655FEF5E">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做好档案查阅服务和陶瓷史料编辑工作。一是恪尽职守，服务广大群众。截止2019年11月25日止，共接待各类查档人员2400余人次，提供近400余份涉及民生问题的档案证明材料。二是做好现行文件利用查阅工作。截止11月25日，共接待查阅人员100人次，提供30份现行文件复印材料。三是安排专人积极协助市陶瓷发展工作领导小组办公室做好《1949——2019景德镇陶瓷史料》编辑工作，提供了大量的档案资料和图片，有力地支持了《1949——2019景德镇陶瓷史料》编辑工作。</w:t>
      </w:r>
    </w:p>
    <w:p w14:paraId="1174C735">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接收第十五届省运会档案进馆。接收第十五届省运会文书档案1862件、实物档案109件、照片档案近万张、录音录像档案223件，形成光盘24盘。省运会开幕式倒计时100天仪式和开闭幕式、广场舞开赛、千名陶艺家众创吉尼斯、火炬传递点火仪式等大型活动录像档案完整接收进馆，省运会吉祥物、会旗、会徽、火炬、票证、奖杯（牌、匾）等各类实物档案也入馆珍藏。此外还接收了古窑民俗博览旅游区捐赠的景德镇历代共13座官窑的营造图纸纸质版和数字化副本，并开展景德镇陶瓷专著征集活动，征集了近200多部陶瓷名人专著资料。</w:t>
      </w:r>
    </w:p>
    <w:p w14:paraId="0FE11E93">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6.启动馆藏档案全面清点整理工作。借助新馆搬迁的契机，启动了馆藏档案全面清点整理工作，力争通过这次清点完全做到家底清楚、馆藏结构丰富。</w:t>
      </w:r>
    </w:p>
    <w:p w14:paraId="299C1DAA">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7，其它工作</w:t>
      </w:r>
    </w:p>
    <w:p w14:paraId="1A0DABEB">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1）完成市档案馆搬迁工作，并投入使用。</w:t>
      </w:r>
    </w:p>
    <w:p w14:paraId="5998D743">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2）及时调整机构设置，推动机构改革工作顺利完成。</w:t>
      </w:r>
    </w:p>
    <w:p w14:paraId="3ECF9373">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3）扎实开展“不忘初心、牢记使命</w:t>
      </w:r>
      <w:r>
        <w:rPr>
          <w:rFonts w:hint="default" w:ascii="仿宋" w:hAnsi="仿宋" w:eastAsia="仿宋" w:cs="仿宋"/>
          <w:kern w:val="2"/>
          <w:sz w:val="28"/>
          <w:szCs w:val="28"/>
          <w:lang w:val="en-US" w:eastAsia="zh-CN" w:bidi="ar-SA"/>
        </w:rPr>
        <w:t>”</w:t>
      </w:r>
      <w:r>
        <w:rPr>
          <w:rFonts w:hint="eastAsia" w:ascii="仿宋" w:hAnsi="仿宋" w:eastAsia="仿宋" w:cs="仿宋"/>
          <w:kern w:val="2"/>
          <w:sz w:val="28"/>
          <w:szCs w:val="28"/>
          <w:lang w:val="en-US" w:eastAsia="zh-CN" w:bidi="ar-SA"/>
        </w:rPr>
        <w:t>主题教育</w:t>
      </w:r>
      <w:bookmarkStart w:id="2" w:name="_GoBack"/>
      <w:bookmarkEnd w:id="2"/>
      <w:r>
        <w:rPr>
          <w:rFonts w:hint="eastAsia" w:ascii="仿宋" w:hAnsi="仿宋" w:eastAsia="仿宋" w:cs="仿宋"/>
          <w:kern w:val="2"/>
          <w:sz w:val="28"/>
          <w:szCs w:val="28"/>
          <w:lang w:val="en-US" w:eastAsia="zh-CN" w:bidi="ar-SA"/>
        </w:rPr>
        <w:t>。</w:t>
      </w:r>
    </w:p>
    <w:p w14:paraId="20068F88">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4）落实统战工作责任制。提供大量馆藏档案资料协助市政协做好景德镇市政协发展历程展览。</w:t>
      </w:r>
    </w:p>
    <w:p w14:paraId="312A4988">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（二）主要存在问题</w:t>
      </w:r>
    </w:p>
    <w:p w14:paraId="6686BB63">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1、预算绩效目标设置有待改进的地方。部门整体支出绩效目标缺乏基础和依据，预算的精确度待提高，缺乏分项预算金额。  </w:t>
      </w:r>
    </w:p>
    <w:p w14:paraId="2038003D">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2、档案信息化建设相对滞后，档案数字化软硬件投入不足，制约了档案功能的发挥。</w:t>
      </w:r>
    </w:p>
    <w:p w14:paraId="79B40481">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3、基础业务建设水平待提高。档案利用体系、资源体系、安全保管三个体系建设力度待加强，档案馆功能需进一步完善。</w:t>
      </w:r>
    </w:p>
    <w:p w14:paraId="6C9837C1">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4、机关干部素质有待提高，服务意识及能力待提高，机关效能也需进一步提升。　</w:t>
      </w:r>
    </w:p>
    <w:p w14:paraId="0122373F">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（三）整改措施</w:t>
      </w:r>
      <w:bookmarkEnd w:id="1"/>
    </w:p>
    <w:p w14:paraId="53E4EFE7">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1、提高对全面预算管理的重视程度。建立以绩效为导向的预算编制模式，借鉴其他部门在绩效管理方面的经验和做法，制定绩效管理制度，并将其贯彻到预算申请、预算分配、项目实施和绩效考评的全过程。</w:t>
      </w:r>
    </w:p>
    <w:p w14:paraId="534E265B">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2、实施预算进度跟踪，合理支出预算资金，做到目标管理与执行进度跟踪统一，项目产出与效益管理的统一。</w:t>
      </w:r>
    </w:p>
    <w:p w14:paraId="49E1FF6C">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3、不断推进和完善市档案馆功能建设。加强规划指导，把景德镇市档案馆建成满足档案保管基地、爱国主义教育基地、档案利用中心、政府公开信息查阅中心、电子文件备份中心“五位一体”功能要求，体现瓷都地方文化特色。 </w:t>
      </w:r>
    </w:p>
    <w:p w14:paraId="344A41ED">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4、加速推进档案信息化建设。加大档案数字化软硬件的投入，提高档案数字化质量。加大馆藏档案数字化工作力度，更好利用、保护好档案。 </w:t>
      </w:r>
    </w:p>
    <w:p w14:paraId="49F4A755">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5、继续推进档案“三个体系”建设。加强和推进档案利用体系、资源体系、安全保管三个体系建设。</w:t>
      </w:r>
    </w:p>
    <w:p w14:paraId="3BD9AB8A">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6、持续推进机关效能建设。进一步提升干部素质，增强服务意识，提高为民服务的能力。</w:t>
      </w:r>
    </w:p>
    <w:p w14:paraId="7078DF94">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p>
    <w:p w14:paraId="32EE8AE5">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p>
    <w:p w14:paraId="045E5BEF">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4C0B23B6">
      <w:pPr>
        <w:pStyle w:val="5"/>
        <w:spacing w:line="600" w:lineRule="atLeast"/>
        <w:ind w:firstLine="600"/>
        <w:rPr>
          <w:rFonts w:hint="eastAsia" w:ascii="仿宋" w:hAnsi="仿宋" w:eastAsia="仿宋"/>
          <w:sz w:val="30"/>
          <w:szCs w:val="30"/>
        </w:rPr>
      </w:pPr>
    </w:p>
    <w:p w14:paraId="54A54D0F">
      <w:pPr>
        <w:pStyle w:val="5"/>
        <w:spacing w:line="600" w:lineRule="atLeast"/>
        <w:ind w:firstLine="600"/>
        <w:rPr>
          <w:rFonts w:hint="eastAsia" w:ascii="黑体" w:hAnsi="黑体" w:eastAsia="黑体" w:cs="黑体"/>
          <w:b w:val="0"/>
          <w:bCs w:val="0"/>
          <w:sz w:val="30"/>
          <w:szCs w:val="30"/>
        </w:rPr>
      </w:pPr>
      <w:r>
        <w:rPr>
          <w:rFonts w:hint="eastAsia" w:ascii="仿宋" w:hAnsi="仿宋" w:eastAsia="仿宋"/>
          <w:kern w:val="0"/>
          <w:sz w:val="30"/>
          <w:szCs w:val="30"/>
        </w:rPr>
        <w:t xml:space="preserve">   </w:t>
      </w:r>
      <w:r>
        <w:rPr>
          <w:rFonts w:hint="eastAsia" w:ascii="黑体" w:hAnsi="黑体" w:eastAsia="黑体" w:cs="黑体"/>
          <w:b w:val="0"/>
          <w:bCs w:val="0"/>
          <w:sz w:val="30"/>
          <w:szCs w:val="30"/>
        </w:rPr>
        <w:t xml:space="preserve">一、收入科目 </w:t>
      </w:r>
    </w:p>
    <w:p w14:paraId="270C7251">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（一）财政拨款：指省级财政当年拨付的资金。</w:t>
      </w:r>
    </w:p>
    <w:p w14:paraId="0B59693A">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w:t>
      </w:r>
      <w:r>
        <w:rPr>
          <w:rFonts w:hint="eastAsia" w:ascii="仿宋" w:hAnsi="仿宋" w:eastAsia="仿宋" w:cs="仿宋"/>
          <w:sz w:val="30"/>
          <w:szCs w:val="30"/>
          <w:lang w:eastAsia="zh-CN"/>
        </w:rPr>
        <w:t>二</w:t>
      </w:r>
      <w:r>
        <w:rPr>
          <w:rFonts w:hint="eastAsia" w:ascii="仿宋" w:hAnsi="仿宋" w:eastAsia="仿宋" w:cs="仿宋"/>
          <w:sz w:val="30"/>
          <w:szCs w:val="30"/>
        </w:rPr>
        <w:t>）上年结转和结余：</w:t>
      </w:r>
      <w:r>
        <w:rPr>
          <w:rFonts w:hint="eastAsia" w:ascii="仿宋" w:hAnsi="仿宋" w:eastAsia="仿宋" w:cs="仿宋"/>
          <w:sz w:val="30"/>
          <w:szCs w:val="30"/>
          <w:lang w:eastAsia="zh-CN"/>
        </w:rPr>
        <w:t>指以前年度尚未完成，结转到本年仍按原规定用途继续使用的资金。</w:t>
      </w:r>
    </w:p>
    <w:p w14:paraId="7AAFEC72">
      <w:pPr>
        <w:pStyle w:val="5"/>
        <w:spacing w:line="600" w:lineRule="atLeast"/>
        <w:ind w:firstLine="600"/>
        <w:rPr>
          <w:rFonts w:hint="eastAsia" w:ascii="黑体" w:hAnsi="黑体" w:eastAsia="黑体" w:cs="黑体"/>
          <w:sz w:val="30"/>
          <w:szCs w:val="30"/>
        </w:rPr>
      </w:pPr>
      <w:r>
        <w:rPr>
          <w:rFonts w:hint="eastAsia" w:ascii="黑体" w:hAnsi="黑体" w:eastAsia="黑体" w:cs="黑体"/>
          <w:sz w:val="30"/>
          <w:szCs w:val="30"/>
        </w:rPr>
        <w:t xml:space="preserve"> 二、支出科目 </w:t>
      </w:r>
    </w:p>
    <w:p w14:paraId="13FB63E8">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（一）</w:t>
      </w:r>
      <w:r>
        <w:rPr>
          <w:rFonts w:hint="eastAsia" w:ascii="仿宋" w:hAnsi="仿宋" w:eastAsia="仿宋"/>
          <w:sz w:val="30"/>
          <w:szCs w:val="30"/>
        </w:rPr>
        <w:t>一般公共服务</w:t>
      </w:r>
      <w:r>
        <w:rPr>
          <w:rFonts w:hint="eastAsia" w:ascii="仿宋" w:hAnsi="仿宋" w:eastAsia="仿宋" w:cs="仿宋"/>
          <w:sz w:val="30"/>
          <w:szCs w:val="30"/>
          <w:lang w:eastAsia="zh-CN"/>
        </w:rPr>
        <w:t>：反映行政单位（包括实行公务员管理的事业单位）的基本支出。 </w:t>
      </w:r>
    </w:p>
    <w:p w14:paraId="5F114F13">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行政运行：反映行政单位的基本支出。</w:t>
      </w:r>
    </w:p>
    <w:p w14:paraId="0774D912">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档案馆：反映中央和地方各级档案馆的支出，包括档案资料征集，档案抢救、保护、编纂、修复、现代化管理，档案信息资源开发、提供、利用，档案馆设备购置、维护，档案陈列展览等方面的支出。 </w:t>
      </w:r>
    </w:p>
    <w:p w14:paraId="4208563A">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（二）社会保障和就业支出：反映本单位用于未归口管理的行政事业单位离退休经费开支，机关事业单位实施养老保险制度由单位缴纳的基本养老保险费支出。 </w:t>
      </w:r>
    </w:p>
    <w:p w14:paraId="7F596256">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（三）医疗卫生与计划生育支出：反映本单位用于缴交职工基本医疗保险的补助支出。</w:t>
      </w:r>
    </w:p>
    <w:p w14:paraId="4D9B3862">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（四）住房保障支出：反映单位按照国家政策规定，对无房和住房未达标职工发放的住房货币化改革补贴资金。</w:t>
      </w:r>
    </w:p>
    <w:p w14:paraId="3D74853A">
      <w:pPr>
        <w:pStyle w:val="5"/>
        <w:numPr>
          <w:ilvl w:val="0"/>
          <w:numId w:val="0"/>
        </w:numPr>
        <w:spacing w:line="600" w:lineRule="atLeast"/>
        <w:ind w:left="720" w:leftChars="0"/>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“三公”经费</w:t>
      </w:r>
    </w:p>
    <w:p w14:paraId="3B542979">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纳入市级财政决算管理的“三公”经费，是指用于财政拨款安排的因公出国（境）费、公务用车购置及运行费和公务接待费。</w:t>
      </w:r>
    </w:p>
    <w:p w14:paraId="47D5338C">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其中：因公出国（境）反映单位公务出国（境）的国际旅费、国外城市间交通费、住宿费、伙食费、培训费、公杂费等支出；</w:t>
      </w:r>
    </w:p>
    <w:p w14:paraId="4FE9A8A2">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公务用车购置及运行费反映单位公务用车车辆购置支出（含车辆购置税）及租用费、燃料费、维修费、过路过桥费、保险费、安全奖励费用等支出；</w:t>
      </w:r>
    </w:p>
    <w:p w14:paraId="412ADA02">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公务接待费反映单位按规定开支的各类公务接待（含外宾接待）支出运行公务接待费。</w:t>
      </w:r>
    </w:p>
    <w:p w14:paraId="5774724F">
      <w:pPr>
        <w:pStyle w:val="5"/>
        <w:numPr>
          <w:ilvl w:val="0"/>
          <w:numId w:val="0"/>
        </w:numPr>
        <w:spacing w:line="600" w:lineRule="atLeast"/>
        <w:ind w:left="750" w:leftChars="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 xml:space="preserve">机关运行经费 </w:t>
      </w:r>
    </w:p>
    <w:p w14:paraId="1F752B37">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按照财政部《地方预决算公开操作规程》明确的口径， 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585CB4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MmI5MTFmNWQxNWYxZTM4NTFhYzU0NDI2MDhlNTYifQ=="/>
  </w:docVars>
  <w:rsids>
    <w:rsidRoot w:val="00000000"/>
    <w:rsid w:val="05F43581"/>
    <w:rsid w:val="1E7D5FC0"/>
    <w:rsid w:val="2CA83B89"/>
    <w:rsid w:val="2E1308C7"/>
    <w:rsid w:val="352A495A"/>
    <w:rsid w:val="3CAC1C0E"/>
    <w:rsid w:val="56FE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kern w:val="0"/>
      <w:szCs w:val="21"/>
    </w:rPr>
  </w:style>
  <w:style w:type="paragraph" w:customStyle="1" w:styleId="6">
    <w:name w:val="闻政正文"/>
    <w:basedOn w:val="1"/>
    <w:qFormat/>
    <w:uiPriority w:val="0"/>
    <w:pPr>
      <w:spacing w:line="500" w:lineRule="exact"/>
      <w:ind w:firstLine="560" w:firstLineChars="200"/>
    </w:pPr>
    <w:rPr>
      <w:rFonts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5457</Words>
  <Characters>5855</Characters>
  <Lines>0</Lines>
  <Paragraphs>0</Paragraphs>
  <TotalTime>2</TotalTime>
  <ScaleCrop>false</ScaleCrop>
  <LinksUpToDate>false</LinksUpToDate>
  <CharactersWithSpaces>5968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姗</cp:lastModifiedBy>
  <dcterms:modified xsi:type="dcterms:W3CDTF">2024-11-11T02:26:15Z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E70AB8ABA2564AA9A02DEAA48B05B42E_13</vt:lpwstr>
  </property>
</Properties>
</file>