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景德镇市妇女联合会</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妇联</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妇联</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部门职责</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本部门的主要职能有：《关于变更市妇联妇女儿童部名称的请示》（景妇字〔2017〕29号）和《关于调整市妇联领导职数的请示》（景妇党字〔2018〕4号）收悉。根据《中共景德镇市委办公室关于印发&lt;景德镇市妇联改革方案&gt;、&lt;景德镇市科协系统深化改革方案&gt;、&lt;景德镇市侨联改革方案&gt;的通知》（景办发〔2017〕16号）精神，经研究，现批复如下：</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1、同意市妇联内设机构妇女儿童部更名为妇女发展和家庭儿童工作部。</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2、各内设机构职责具体为：</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（1）办公室</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负责内外协调、政务服务、后勤保障、重大活动和会议的承办；承担重要文件的起草、修改和审核；负责机关党建、政治学习、党风廉政建设等工作；负责机关文秘、督查、机要、保密、档案、统计、信息、政务公开等管理工作；负责机关干部管理和考核工作；负责机构编制、工资福利、职称、人事档案、养老保险以及领导干部个人有关事项申报等工作；负责机关的财务资金管理，督查监管所属单位的财务工作；统筹妇女儿童民生项目资金的使用管理；负责机关退休人员的管理和服务工作。</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　　（2）组织宣传部</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参与培养选拔女干部及女性人才工作；负责妇联系统的组织建设、妇女之家等工作；负责妇女代表任期制、执委工作制的实施；负责全市妇女干部教育培训工作；负责培育发展服务女性社会组织；负责统一战线工作。</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宣传党的路线方针政策，宣传马克思主义妇女观和男女平等基本国策，宣传妇女和妇联工作；调查研究我市妇女的思想状况；有针对性地开展妇女的思想教育工作；承担全市妇联网上引导动员妇女群众工作，监测、研判、应对全市涉及妇女组织和妇女儿童的重要舆情，负责市妇联政务网、网络智库、新媒体中心建设管理；配合有关部门开展群众性精神文明创建活动，指导开展巾帼志愿服务；负责“三八”红旗手（集体）的评选表彰工作。</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（3）妇女发展和家庭儿童工作部</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动员和组织妇女参与经济社会发展，帮助妇女脱贫致富；协调并争取妇女发展的政策措施；帮助妇女提高综合素质和生产技能，开展妇女就业培训；引导各行各业妇女创新创业；激励妇女岗位建功成才，负责全市城乡妇女岗位建功先进集体（个人）的评选表彰工作。指导市女企业家协会工作。</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负责指导推进全市家庭教育工作，与制定和实施家庭教育和儿童相关的地方性法规、政策;配合有关部门开展家庭发展、儿童教育等相关工作；负责开展家庭文明建设工作,组织实施相关家庭服务项目；开展困境儿童、留守儿童关爱服务工作；参与推进校外教育。</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（4）权益部</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监督执行维护妇女儿童权益法律、法规；负责处理群众来信来访，做好妇女儿童维权及婚姻家庭矛盾纠纷预防化解工作；参与普法宣传、心理咨询、法律援助等工作；参与社会综合治理和维稳工作；负责“平安家庭”创建工作。</w:t>
      </w:r>
    </w:p>
    <w:p>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3、核减市妇联党总支专职副书记1名，其工作由其他相关人员兼任，核减后市妇联正科级领导职数5名（含妇女儿童工作委员会办公室主任1名），副科级职数3名。</w:t>
      </w:r>
    </w:p>
    <w:p>
      <w:pPr>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numPr>
          <w:ilvl w:val="0"/>
          <w:numId w:val="0"/>
        </w:numPr>
        <w:ind w:leftChars="0"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机构设置和人员情况</w:t>
      </w:r>
    </w:p>
    <w:p>
      <w:pPr>
        <w:widowControl/>
        <w:ind w:left="239" w:leftChars="114" w:firstLine="640" w:firstLineChars="200"/>
        <w:jc w:val="left"/>
        <w:rPr>
          <w:rFonts w:hint="default" w:ascii="仿宋" w:hAnsi="仿宋" w:eastAsia="仿宋"/>
          <w:sz w:val="32"/>
          <w:szCs w:val="32"/>
          <w:lang w:val="en-US" w:eastAsia="zh-CN"/>
        </w:rPr>
      </w:pPr>
      <w:r>
        <w:rPr>
          <w:rFonts w:ascii="仿宋" w:hAnsi="仿宋" w:eastAsia="仿宋" w:cs="宋体"/>
          <w:kern w:val="0"/>
          <w:sz w:val="32"/>
          <w:szCs w:val="32"/>
          <w:lang w:bidi="ar"/>
        </w:rPr>
        <w:t>本部门共有预算单位2个，即部门本级和1个二级单位。人员编制总数为</w:t>
      </w:r>
      <w:r>
        <w:rPr>
          <w:rFonts w:hint="eastAsia" w:ascii="仿宋" w:hAnsi="仿宋" w:eastAsia="仿宋" w:cs="宋体"/>
          <w:kern w:val="0"/>
          <w:sz w:val="32"/>
          <w:szCs w:val="32"/>
          <w:lang w:val="en-US" w:eastAsia="zh-CN" w:bidi="ar"/>
        </w:rPr>
        <w:t>17</w:t>
      </w:r>
      <w:r>
        <w:rPr>
          <w:rFonts w:ascii="仿宋" w:hAnsi="仿宋" w:eastAsia="仿宋" w:cs="宋体"/>
          <w:kern w:val="0"/>
          <w:sz w:val="32"/>
          <w:szCs w:val="32"/>
          <w:lang w:bidi="ar"/>
        </w:rPr>
        <w:t>个，其中行政编制1</w:t>
      </w:r>
      <w:r>
        <w:rPr>
          <w:rFonts w:hint="eastAsia" w:ascii="仿宋" w:hAnsi="仿宋" w:eastAsia="仿宋" w:cs="宋体"/>
          <w:kern w:val="0"/>
          <w:sz w:val="32"/>
          <w:szCs w:val="32"/>
          <w:lang w:val="en-US" w:eastAsia="zh-CN" w:bidi="ar"/>
        </w:rPr>
        <w:t>4</w:t>
      </w:r>
      <w:r>
        <w:rPr>
          <w:rFonts w:ascii="仿宋" w:hAnsi="仿宋" w:eastAsia="仿宋" w:cs="宋体"/>
          <w:kern w:val="0"/>
          <w:sz w:val="32"/>
          <w:szCs w:val="32"/>
          <w:lang w:bidi="ar"/>
        </w:rPr>
        <w:t>个、全部补助事业编制</w:t>
      </w:r>
      <w:r>
        <w:rPr>
          <w:rFonts w:hint="eastAsia" w:ascii="仿宋" w:hAnsi="仿宋" w:eastAsia="仿宋" w:cs="宋体"/>
          <w:kern w:val="0"/>
          <w:sz w:val="32"/>
          <w:szCs w:val="32"/>
          <w:lang w:val="en-US" w:eastAsia="zh-CN" w:bidi="ar"/>
        </w:rPr>
        <w:t>3</w:t>
      </w:r>
      <w:r>
        <w:rPr>
          <w:rFonts w:ascii="仿宋" w:hAnsi="仿宋" w:eastAsia="仿宋" w:cs="宋体"/>
          <w:kern w:val="0"/>
          <w:sz w:val="32"/>
          <w:szCs w:val="32"/>
          <w:lang w:bidi="ar"/>
        </w:rPr>
        <w:t>个。实有人数</w:t>
      </w:r>
      <w:r>
        <w:rPr>
          <w:rFonts w:hint="eastAsia" w:ascii="仿宋" w:hAnsi="仿宋" w:eastAsia="仿宋" w:cs="宋体"/>
          <w:kern w:val="0"/>
          <w:sz w:val="32"/>
          <w:szCs w:val="32"/>
          <w:lang w:val="en-US" w:eastAsia="zh-CN" w:bidi="ar"/>
        </w:rPr>
        <w:t>12</w:t>
      </w:r>
      <w:r>
        <w:rPr>
          <w:rFonts w:ascii="仿宋" w:hAnsi="仿宋" w:eastAsia="仿宋" w:cs="宋体"/>
          <w:kern w:val="0"/>
          <w:sz w:val="32"/>
          <w:szCs w:val="32"/>
          <w:lang w:bidi="ar"/>
        </w:rPr>
        <w:t>人，包括行政1</w:t>
      </w:r>
      <w:r>
        <w:rPr>
          <w:rFonts w:hint="eastAsia" w:ascii="仿宋" w:hAnsi="仿宋" w:eastAsia="仿宋" w:cs="宋体"/>
          <w:kern w:val="0"/>
          <w:sz w:val="32"/>
          <w:szCs w:val="32"/>
          <w:lang w:val="en-US" w:eastAsia="zh-CN" w:bidi="ar"/>
        </w:rPr>
        <w:t>0</w:t>
      </w:r>
      <w:r>
        <w:rPr>
          <w:rFonts w:ascii="仿宋" w:hAnsi="仿宋" w:eastAsia="仿宋" w:cs="宋体"/>
          <w:kern w:val="0"/>
          <w:sz w:val="32"/>
          <w:szCs w:val="32"/>
          <w:lang w:bidi="ar"/>
        </w:rPr>
        <w:t>人、全部财政补助</w:t>
      </w:r>
      <w:r>
        <w:rPr>
          <w:rFonts w:hint="eastAsia" w:ascii="仿宋" w:hAnsi="仿宋" w:eastAsia="仿宋" w:cs="宋体"/>
          <w:kern w:val="0"/>
          <w:sz w:val="32"/>
          <w:szCs w:val="32"/>
          <w:lang w:bidi="ar"/>
        </w:rPr>
        <w:t>2</w:t>
      </w:r>
      <w:r>
        <w:rPr>
          <w:rFonts w:ascii="仿宋" w:hAnsi="仿宋" w:eastAsia="仿宋" w:cs="宋体"/>
          <w:kern w:val="0"/>
          <w:sz w:val="32"/>
          <w:szCs w:val="32"/>
          <w:lang w:bidi="ar"/>
        </w:rPr>
        <w:t>人。</w:t>
      </w:r>
      <w:r>
        <w:rPr>
          <w:rFonts w:ascii="仿宋" w:hAnsi="仿宋" w:eastAsia="仿宋" w:cs="宋体"/>
          <w:kern w:val="0"/>
          <w:sz w:val="32"/>
          <w:szCs w:val="32"/>
          <w:lang w:bidi="ar"/>
        </w:rPr>
        <w:br w:type="textWrapping"/>
      </w:r>
      <w:r>
        <w:rPr>
          <w:rFonts w:hint="eastAsia" w:ascii="仿宋" w:hAnsi="仿宋" w:eastAsia="仿宋" w:cs="宋体"/>
          <w:kern w:val="0"/>
          <w:sz w:val="32"/>
          <w:szCs w:val="32"/>
          <w:lang w:bidi="ar"/>
        </w:rPr>
        <w:t xml:space="preserve">  </w:t>
      </w:r>
      <w:r>
        <w:rPr>
          <w:rFonts w:ascii="仿宋" w:hAnsi="仿宋" w:eastAsia="仿宋" w:cs="宋体"/>
          <w:kern w:val="0"/>
          <w:sz w:val="32"/>
          <w:szCs w:val="32"/>
          <w:lang w:bidi="ar"/>
        </w:rPr>
        <w:t>201</w:t>
      </w:r>
      <w:r>
        <w:rPr>
          <w:rFonts w:hint="eastAsia" w:ascii="仿宋" w:hAnsi="仿宋" w:eastAsia="仿宋" w:cs="宋体"/>
          <w:kern w:val="0"/>
          <w:sz w:val="32"/>
          <w:szCs w:val="32"/>
          <w:lang w:val="en-US" w:eastAsia="zh-CN" w:bidi="ar"/>
        </w:rPr>
        <w:t>9</w:t>
      </w:r>
      <w:r>
        <w:rPr>
          <w:rFonts w:ascii="仿宋" w:hAnsi="仿宋" w:eastAsia="仿宋" w:cs="宋体"/>
          <w:kern w:val="0"/>
          <w:sz w:val="32"/>
          <w:szCs w:val="32"/>
          <w:lang w:bidi="ar"/>
        </w:rPr>
        <w:t>年度，纳入本部门决算汇编范围的独立核算单位共2个，包括：</w:t>
      </w:r>
      <w:r>
        <w:rPr>
          <w:rFonts w:hint="eastAsia" w:ascii="仿宋" w:hAnsi="仿宋" w:eastAsia="仿宋" w:cs="宋体"/>
          <w:kern w:val="0"/>
          <w:sz w:val="32"/>
          <w:szCs w:val="32"/>
          <w:lang w:val="en-US" w:eastAsia="zh-CN" w:bidi="ar"/>
        </w:rPr>
        <w:t>景德镇市妇女联合会</w:t>
      </w:r>
      <w:r>
        <w:rPr>
          <w:rFonts w:ascii="仿宋" w:hAnsi="仿宋" w:eastAsia="仿宋" w:cs="宋体"/>
          <w:kern w:val="0"/>
          <w:sz w:val="32"/>
          <w:szCs w:val="32"/>
          <w:lang w:bidi="ar"/>
        </w:rPr>
        <w:t>和景德镇市</w:t>
      </w:r>
      <w:r>
        <w:rPr>
          <w:rFonts w:hint="eastAsia" w:ascii="仿宋" w:hAnsi="仿宋" w:eastAsia="仿宋" w:cs="宋体"/>
          <w:kern w:val="0"/>
          <w:sz w:val="32"/>
          <w:szCs w:val="32"/>
          <w:lang w:val="en-US" w:eastAsia="zh-CN" w:bidi="ar"/>
        </w:rPr>
        <w:t>妇女儿童活动中心。</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4863465"/>
            <wp:effectExtent l="0" t="0" r="8255" b="13335"/>
            <wp:docPr id="2" name="图片 2" descr="1601345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1345383(1)"/>
                    <pic:cNvPicPr>
                      <a:picLocks noChangeAspect="1"/>
                    </pic:cNvPicPr>
                  </pic:nvPicPr>
                  <pic:blipFill>
                    <a:blip r:embed="rId4"/>
                    <a:stretch>
                      <a:fillRect/>
                    </a:stretch>
                  </pic:blipFill>
                  <pic:spPr>
                    <a:xfrm>
                      <a:off x="0" y="0"/>
                      <a:ext cx="5268595" cy="486346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4785" cy="2645410"/>
            <wp:effectExtent l="0" t="0" r="12065" b="2540"/>
            <wp:docPr id="11" name="图片 11" descr="1601020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1020854(1)"/>
                    <pic:cNvPicPr>
                      <a:picLocks noChangeAspect="1"/>
                    </pic:cNvPicPr>
                  </pic:nvPicPr>
                  <pic:blipFill>
                    <a:blip r:embed="rId5"/>
                    <a:stretch>
                      <a:fillRect/>
                    </a:stretch>
                  </pic:blipFill>
                  <pic:spPr>
                    <a:xfrm>
                      <a:off x="0" y="0"/>
                      <a:ext cx="5264785" cy="264541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7485" cy="3187065"/>
            <wp:effectExtent l="0" t="0" r="18415" b="1333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5277485" cy="3187065"/>
                    </a:xfrm>
                    <a:prstGeom prst="rect">
                      <a:avLst/>
                    </a:prstGeom>
                    <a:noFill/>
                    <a:ln>
                      <a:noFill/>
                    </a:ln>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4070350"/>
            <wp:effectExtent l="0" t="0" r="6350" b="6350"/>
            <wp:docPr id="14" name="图片 14" descr="1601021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1021035(1)"/>
                    <pic:cNvPicPr>
                      <a:picLocks noChangeAspect="1"/>
                    </pic:cNvPicPr>
                  </pic:nvPicPr>
                  <pic:blipFill>
                    <a:blip r:embed="rId7"/>
                    <a:stretch>
                      <a:fillRect/>
                    </a:stretch>
                  </pic:blipFill>
                  <pic:spPr>
                    <a:xfrm>
                      <a:off x="0" y="0"/>
                      <a:ext cx="5270500" cy="407035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4310" cy="5184775"/>
            <wp:effectExtent l="0" t="0" r="2540" b="15875"/>
            <wp:docPr id="1" name="图片 1" descr="1601345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1345307(1)"/>
                    <pic:cNvPicPr>
                      <a:picLocks noChangeAspect="1"/>
                    </pic:cNvPicPr>
                  </pic:nvPicPr>
                  <pic:blipFill>
                    <a:blip r:embed="rId8"/>
                    <a:stretch>
                      <a:fillRect/>
                    </a:stretch>
                  </pic:blipFill>
                  <pic:spPr>
                    <a:xfrm>
                      <a:off x="0" y="0"/>
                      <a:ext cx="5274310" cy="518477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1770" cy="4424045"/>
            <wp:effectExtent l="0" t="0" r="5080" b="14605"/>
            <wp:docPr id="15" name="图片 15" descr="1601021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1021109(1)"/>
                    <pic:cNvPicPr>
                      <a:picLocks noChangeAspect="1"/>
                    </pic:cNvPicPr>
                  </pic:nvPicPr>
                  <pic:blipFill>
                    <a:blip r:embed="rId9"/>
                    <a:stretch>
                      <a:fillRect/>
                    </a:stretch>
                  </pic:blipFill>
                  <pic:spPr>
                    <a:xfrm>
                      <a:off x="0" y="0"/>
                      <a:ext cx="5271770" cy="4424045"/>
                    </a:xfrm>
                    <a:prstGeom prst="rect">
                      <a:avLst/>
                    </a:prstGeom>
                  </pic:spPr>
                </pic:pic>
              </a:graphicData>
            </a:graphic>
          </wp:inline>
        </w:drawing>
      </w:r>
    </w:p>
    <w:p>
      <w:pPr>
        <w:bidi w:val="0"/>
        <w:rPr>
          <w:rFonts w:hint="eastAsia" w:ascii="Times New Roman" w:hAnsi="Times New Roman" w:eastAsia="宋体" w:cs="Times New Roman"/>
          <w:kern w:val="2"/>
          <w:sz w:val="21"/>
          <w:lang w:val="en-US" w:eastAsia="zh-CN" w:bidi="ar-SA"/>
        </w:rPr>
      </w:pPr>
    </w:p>
    <w:p>
      <w:pPr>
        <w:bidi w:val="0"/>
        <w:rPr>
          <w:rFonts w:hint="eastAsia"/>
          <w:lang w:val="en-US" w:eastAsia="zh-CN"/>
        </w:rPr>
      </w:pPr>
    </w:p>
    <w:p>
      <w:pPr>
        <w:bidi w:val="0"/>
        <w:rPr>
          <w:rFonts w:hint="eastAsia"/>
          <w:lang w:val="en-US" w:eastAsia="zh-CN"/>
        </w:rPr>
      </w:pPr>
    </w:p>
    <w:p>
      <w:pPr>
        <w:tabs>
          <w:tab w:val="left" w:pos="1933"/>
        </w:tabs>
        <w:bidi w:val="0"/>
        <w:jc w:val="left"/>
        <w:rPr>
          <w:rFonts w:hint="eastAsia"/>
          <w:lang w:val="en-US" w:eastAsia="zh-CN"/>
        </w:rPr>
      </w:pPr>
      <w:r>
        <w:rPr>
          <w:rFonts w:hint="eastAsia"/>
          <w:lang w:val="en-US" w:eastAsia="zh-CN"/>
        </w:rPr>
        <w:tab/>
      </w:r>
      <w:r>
        <w:rPr>
          <w:rFonts w:hint="eastAsia"/>
          <w:lang w:val="en-US" w:eastAsia="zh-CN"/>
        </w:rPr>
        <w:drawing>
          <wp:inline distT="0" distB="0" distL="114300" distR="114300">
            <wp:extent cx="4772025" cy="4772025"/>
            <wp:effectExtent l="0" t="0" r="9525" b="9525"/>
            <wp:docPr id="18" name="图片 18" descr="1601021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01021368(1)"/>
                    <pic:cNvPicPr>
                      <a:picLocks noChangeAspect="1"/>
                    </pic:cNvPicPr>
                  </pic:nvPicPr>
                  <pic:blipFill>
                    <a:blip r:embed="rId10"/>
                    <a:stretch>
                      <a:fillRect/>
                    </a:stretch>
                  </pic:blipFill>
                  <pic:spPr>
                    <a:xfrm>
                      <a:off x="0" y="0"/>
                      <a:ext cx="4772025" cy="477202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040" cy="1891665"/>
            <wp:effectExtent l="0" t="0" r="3810" b="13335"/>
            <wp:docPr id="22" name="图片 22" descr="1601021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01021578(1)"/>
                    <pic:cNvPicPr>
                      <a:picLocks noChangeAspect="1"/>
                    </pic:cNvPicPr>
                  </pic:nvPicPr>
                  <pic:blipFill>
                    <a:blip r:embed="rId11"/>
                    <a:stretch>
                      <a:fillRect/>
                    </a:stretch>
                  </pic:blipFill>
                  <pic:spPr>
                    <a:xfrm>
                      <a:off x="0" y="0"/>
                      <a:ext cx="5273040" cy="189166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33975" cy="2990850"/>
            <wp:effectExtent l="0" t="0" r="9525" b="0"/>
            <wp:docPr id="4" name="图片 4" descr="1601345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1345585(1)"/>
                    <pic:cNvPicPr>
                      <a:picLocks noChangeAspect="1"/>
                    </pic:cNvPicPr>
                  </pic:nvPicPr>
                  <pic:blipFill>
                    <a:blip r:embed="rId12"/>
                    <a:stretch>
                      <a:fillRect/>
                    </a:stretch>
                  </pic:blipFill>
                  <pic:spPr>
                    <a:xfrm>
                      <a:off x="0" y="0"/>
                      <a:ext cx="5133975" cy="299085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仿宋" w:hAnsi="仿宋" w:eastAsia="仿宋" w:cs="仿宋"/>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cs="仿宋"/>
          <w:sz w:val="30"/>
          <w:szCs w:val="30"/>
          <w:lang w:eastAsia="zh-CN"/>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年度收入总计</w:t>
      </w:r>
      <w:r>
        <w:rPr>
          <w:rFonts w:hint="eastAsia" w:ascii="仿宋" w:hAnsi="仿宋" w:eastAsia="仿宋" w:cs="仿宋"/>
          <w:sz w:val="30"/>
          <w:szCs w:val="30"/>
          <w:lang w:val="en-US" w:eastAsia="zh-CN"/>
        </w:rPr>
        <w:t>607.17</w:t>
      </w:r>
      <w:r>
        <w:rPr>
          <w:rFonts w:hint="eastAsia" w:ascii="仿宋" w:hAnsi="仿宋" w:eastAsia="仿宋" w:cs="仿宋"/>
          <w:sz w:val="30"/>
          <w:szCs w:val="30"/>
        </w:rPr>
        <w:t xml:space="preserve">万元，其中年初结转和结余 </w:t>
      </w:r>
      <w:r>
        <w:rPr>
          <w:rFonts w:hint="eastAsia" w:ascii="仿宋" w:hAnsi="仿宋" w:eastAsia="仿宋" w:cs="仿宋"/>
          <w:sz w:val="30"/>
          <w:szCs w:val="30"/>
          <w:lang w:val="en-US" w:eastAsia="zh-CN"/>
        </w:rPr>
        <w:t>268.41</w:t>
      </w:r>
      <w:r>
        <w:rPr>
          <w:rFonts w:hint="eastAsia" w:ascii="仿宋" w:hAnsi="仿宋" w:eastAsia="仿宋" w:cs="仿宋"/>
          <w:sz w:val="30"/>
          <w:szCs w:val="30"/>
        </w:rPr>
        <w:t>万元，</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本年收入合计 </w:t>
      </w:r>
      <w:r>
        <w:rPr>
          <w:rFonts w:hint="eastAsia" w:ascii="仿宋" w:hAnsi="仿宋" w:eastAsia="仿宋" w:cs="仿宋"/>
          <w:sz w:val="30"/>
          <w:szCs w:val="30"/>
          <w:lang w:val="en-US" w:eastAsia="zh-CN"/>
        </w:rPr>
        <w:t>338.76</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ind w:firstLine="630"/>
        <w:jc w:val="left"/>
        <w:rPr>
          <w:rFonts w:hint="eastAsia" w:ascii="仿宋" w:hAnsi="仿宋" w:eastAsia="仿宋" w:cs="仿宋"/>
          <w:sz w:val="30"/>
          <w:szCs w:val="30"/>
        </w:rPr>
      </w:pPr>
      <w:r>
        <w:rPr>
          <w:rFonts w:hint="eastAsia" w:ascii="仿宋" w:hAnsi="仿宋" w:eastAsia="仿宋" w:cs="仿宋"/>
          <w:sz w:val="30"/>
          <w:szCs w:val="30"/>
        </w:rPr>
        <w:t>本年收入的具体构成为：财政拨款收入</w:t>
      </w:r>
      <w:r>
        <w:rPr>
          <w:rFonts w:hint="eastAsia" w:ascii="仿宋" w:hAnsi="仿宋" w:eastAsia="仿宋" w:cs="仿宋"/>
          <w:sz w:val="30"/>
          <w:szCs w:val="30"/>
          <w:lang w:val="en-US" w:eastAsia="zh-CN"/>
        </w:rPr>
        <w:t>328.76</w:t>
      </w:r>
      <w:r>
        <w:rPr>
          <w:rFonts w:hint="eastAsia" w:ascii="仿宋" w:hAnsi="仿宋" w:eastAsia="仿宋" w:cs="仿宋"/>
          <w:sz w:val="30"/>
          <w:szCs w:val="30"/>
        </w:rPr>
        <w:t xml:space="preserve"> 万元，占</w:t>
      </w:r>
      <w:r>
        <w:rPr>
          <w:rFonts w:hint="eastAsia" w:ascii="仿宋" w:hAnsi="仿宋" w:eastAsia="仿宋" w:cs="仿宋"/>
          <w:sz w:val="30"/>
          <w:szCs w:val="30"/>
          <w:lang w:val="en-US" w:eastAsia="zh-CN"/>
        </w:rPr>
        <w:t>97.05</w:t>
      </w:r>
      <w:r>
        <w:rPr>
          <w:rFonts w:hint="eastAsia" w:ascii="仿宋" w:hAnsi="仿宋" w:eastAsia="仿宋" w:cs="仿宋"/>
          <w:sz w:val="30"/>
          <w:szCs w:val="30"/>
        </w:rPr>
        <w:t xml:space="preserve"> %；事业收入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%；经营收入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%；其他收入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w:t>
      </w:r>
      <w:r>
        <w:rPr>
          <w:rFonts w:hint="eastAsia" w:ascii="仿宋" w:hAnsi="仿宋" w:eastAsia="仿宋" w:cs="仿宋"/>
          <w:sz w:val="30"/>
          <w:szCs w:val="30"/>
          <w:lang w:eastAsia="zh-CN"/>
        </w:rPr>
        <w:t>，政府性基金预算财政拨款收入</w:t>
      </w:r>
      <w:r>
        <w:rPr>
          <w:rFonts w:hint="eastAsia" w:ascii="仿宋" w:hAnsi="仿宋" w:eastAsia="仿宋" w:cs="仿宋"/>
          <w:sz w:val="30"/>
          <w:szCs w:val="30"/>
          <w:lang w:val="en-US" w:eastAsia="zh-CN"/>
        </w:rPr>
        <w:t>10万元，占2.95%。</w:t>
      </w:r>
      <w:r>
        <w:rPr>
          <w:rFonts w:hint="eastAsia" w:ascii="仿宋" w:hAnsi="仿宋" w:eastAsia="仿宋" w:cs="仿宋"/>
          <w:sz w:val="30"/>
          <w:szCs w:val="30"/>
        </w:rPr>
        <w:t xml:space="preserve">  </w:t>
      </w:r>
    </w:p>
    <w:p>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二、支出决算情况说明</w:t>
      </w:r>
    </w:p>
    <w:p>
      <w:pPr>
        <w:ind w:firstLine="630"/>
        <w:jc w:val="left"/>
        <w:rPr>
          <w:rFonts w:hint="eastAsia" w:ascii="仿宋" w:hAnsi="仿宋" w:eastAsia="仿宋" w:cs="仿宋"/>
          <w:sz w:val="30"/>
          <w:szCs w:val="30"/>
          <w:lang w:eastAsia="zh-CN"/>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年度支出总计</w:t>
      </w:r>
      <w:r>
        <w:rPr>
          <w:rFonts w:hint="eastAsia" w:ascii="仿宋" w:hAnsi="仿宋" w:eastAsia="仿宋" w:cs="仿宋"/>
          <w:sz w:val="30"/>
          <w:szCs w:val="30"/>
          <w:lang w:val="en-US" w:eastAsia="zh-CN"/>
        </w:rPr>
        <w:t>607.17</w:t>
      </w:r>
      <w:r>
        <w:rPr>
          <w:rFonts w:hint="eastAsia" w:ascii="仿宋" w:hAnsi="仿宋" w:eastAsia="仿宋" w:cs="仿宋"/>
          <w:sz w:val="30"/>
          <w:szCs w:val="30"/>
        </w:rPr>
        <w:t>万元，其中本年支出合计</w:t>
      </w:r>
      <w:r>
        <w:rPr>
          <w:rFonts w:hint="eastAsia" w:ascii="仿宋" w:hAnsi="仿宋" w:eastAsia="仿宋" w:cs="仿宋"/>
          <w:sz w:val="30"/>
          <w:szCs w:val="30"/>
          <w:lang w:val="en-US" w:eastAsia="zh-CN"/>
        </w:rPr>
        <w:t>425.69</w:t>
      </w:r>
      <w:r>
        <w:rPr>
          <w:rFonts w:hint="eastAsia" w:ascii="仿宋" w:hAnsi="仿宋" w:eastAsia="仿宋" w:cs="仿宋"/>
          <w:sz w:val="30"/>
          <w:szCs w:val="30"/>
        </w:rPr>
        <w:t>万元，年末结转和结余</w:t>
      </w:r>
      <w:r>
        <w:rPr>
          <w:rFonts w:hint="eastAsia" w:ascii="仿宋" w:hAnsi="仿宋" w:eastAsia="仿宋" w:cs="仿宋"/>
          <w:sz w:val="30"/>
          <w:szCs w:val="30"/>
          <w:lang w:val="en-US" w:eastAsia="zh-CN"/>
        </w:rPr>
        <w:t>181.48</w:t>
      </w:r>
      <w:r>
        <w:rPr>
          <w:rFonts w:hint="eastAsia" w:ascii="仿宋" w:hAnsi="仿宋" w:eastAsia="仿宋" w:cs="仿宋"/>
          <w:sz w:val="30"/>
          <w:szCs w:val="30"/>
        </w:rPr>
        <w:t>万元，主要原因是：</w:t>
      </w:r>
      <w:r>
        <w:rPr>
          <w:rFonts w:hint="eastAsia" w:ascii="仿宋" w:hAnsi="仿宋" w:eastAsia="仿宋" w:cs="仿宋"/>
          <w:sz w:val="30"/>
          <w:szCs w:val="30"/>
          <w:lang w:eastAsia="zh-CN"/>
        </w:rPr>
        <w:t>单位领导换届部分业务未开展，部分项目未进行。</w:t>
      </w:r>
    </w:p>
    <w:p>
      <w:pPr>
        <w:ind w:firstLine="630"/>
        <w:jc w:val="left"/>
        <w:rPr>
          <w:rFonts w:hint="eastAsia" w:ascii="仿宋" w:hAnsi="仿宋" w:eastAsia="仿宋" w:cs="仿宋"/>
          <w:sz w:val="30"/>
          <w:szCs w:val="30"/>
        </w:rPr>
      </w:pPr>
      <w:r>
        <w:rPr>
          <w:rFonts w:hint="eastAsia" w:ascii="仿宋" w:hAnsi="仿宋" w:eastAsia="仿宋" w:cs="仿宋"/>
          <w:sz w:val="30"/>
          <w:szCs w:val="30"/>
        </w:rPr>
        <w:t>本年支出的具体构成为：基本支出</w:t>
      </w:r>
      <w:r>
        <w:rPr>
          <w:rFonts w:hint="eastAsia" w:ascii="仿宋" w:hAnsi="仿宋" w:eastAsia="仿宋" w:cs="仿宋"/>
          <w:sz w:val="30"/>
          <w:szCs w:val="30"/>
          <w:lang w:val="en-US" w:eastAsia="zh-CN"/>
        </w:rPr>
        <w:t>291.69</w:t>
      </w:r>
      <w:r>
        <w:rPr>
          <w:rFonts w:hint="eastAsia" w:ascii="仿宋" w:hAnsi="仿宋" w:eastAsia="仿宋" w:cs="仿宋"/>
          <w:sz w:val="30"/>
          <w:szCs w:val="30"/>
        </w:rPr>
        <w:t xml:space="preserve"> 万元，占</w:t>
      </w:r>
      <w:r>
        <w:rPr>
          <w:rFonts w:hint="eastAsia" w:ascii="仿宋" w:hAnsi="仿宋" w:eastAsia="仿宋" w:cs="仿宋"/>
          <w:sz w:val="30"/>
          <w:szCs w:val="30"/>
          <w:lang w:val="en-US" w:eastAsia="zh-CN"/>
        </w:rPr>
        <w:t>68.52</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0</w:t>
      </w:r>
      <w:r>
        <w:rPr>
          <w:rFonts w:hint="eastAsia" w:ascii="仿宋" w:hAnsi="仿宋" w:eastAsia="仿宋" w:cs="仿宋"/>
          <w:sz w:val="30"/>
          <w:szCs w:val="30"/>
        </w:rPr>
        <w:t>%；项目支出</w:t>
      </w:r>
      <w:r>
        <w:rPr>
          <w:rFonts w:hint="eastAsia" w:ascii="仿宋" w:hAnsi="仿宋" w:eastAsia="仿宋" w:cs="仿宋"/>
          <w:sz w:val="30"/>
          <w:szCs w:val="30"/>
          <w:lang w:val="en-US" w:eastAsia="zh-CN"/>
        </w:rPr>
        <w:t>134</w:t>
      </w:r>
      <w:r>
        <w:rPr>
          <w:rFonts w:hint="eastAsia" w:ascii="仿宋" w:hAnsi="仿宋" w:eastAsia="仿宋" w:cs="仿宋"/>
          <w:sz w:val="30"/>
          <w:szCs w:val="30"/>
        </w:rPr>
        <w:t xml:space="preserve">万元，占 </w:t>
      </w:r>
      <w:r>
        <w:rPr>
          <w:rFonts w:hint="eastAsia" w:ascii="仿宋" w:hAnsi="仿宋" w:eastAsia="仿宋" w:cs="仿宋"/>
          <w:sz w:val="30"/>
          <w:szCs w:val="30"/>
          <w:lang w:val="en-US" w:eastAsia="zh-CN"/>
        </w:rPr>
        <w:t>31.48</w:t>
      </w:r>
      <w:r>
        <w:rPr>
          <w:rFonts w:hint="eastAsia" w:ascii="仿宋" w:hAnsi="仿宋" w:eastAsia="仿宋" w:cs="仿宋"/>
          <w:sz w:val="30"/>
          <w:szCs w:val="30"/>
        </w:rPr>
        <w:t xml:space="preserve"> %；经营支出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%；其他支出（对附属单位补助支出、上缴上级支出）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w:t>
      </w:r>
    </w:p>
    <w:p>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三、财政拨款支出决算情况说明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年度财政拨款本年支出年初预算数为</w:t>
      </w:r>
      <w:r>
        <w:rPr>
          <w:rFonts w:hint="eastAsia" w:ascii="仿宋" w:hAnsi="仿宋" w:eastAsia="仿宋" w:cs="仿宋"/>
          <w:sz w:val="30"/>
          <w:szCs w:val="30"/>
          <w:lang w:val="en-US" w:eastAsia="zh-CN"/>
        </w:rPr>
        <w:t>539.51</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425.69</w:t>
      </w:r>
      <w:r>
        <w:rPr>
          <w:rFonts w:hint="eastAsia" w:ascii="仿宋" w:hAnsi="仿宋" w:eastAsia="仿宋" w:cs="仿宋"/>
          <w:sz w:val="30"/>
          <w:szCs w:val="30"/>
        </w:rPr>
        <w:t xml:space="preserve"> 万元，完成年初预算的</w:t>
      </w:r>
      <w:r>
        <w:rPr>
          <w:rFonts w:hint="eastAsia" w:ascii="仿宋" w:hAnsi="仿宋" w:eastAsia="仿宋" w:cs="仿宋"/>
          <w:sz w:val="30"/>
          <w:szCs w:val="30"/>
          <w:lang w:val="en-US" w:eastAsia="zh-CN"/>
        </w:rPr>
        <w:t>78.9</w:t>
      </w:r>
      <w:r>
        <w:rPr>
          <w:rFonts w:hint="eastAsia" w:ascii="仿宋" w:hAnsi="仿宋" w:eastAsia="仿宋" w:cs="仿宋"/>
          <w:sz w:val="30"/>
          <w:szCs w:val="30"/>
        </w:rPr>
        <w:t>%。其中：</w:t>
      </w:r>
    </w:p>
    <w:p>
      <w:pPr>
        <w:ind w:firstLine="630"/>
        <w:jc w:val="left"/>
        <w:rPr>
          <w:rFonts w:hint="eastAsia" w:ascii="仿宋" w:hAnsi="仿宋" w:eastAsia="仿宋" w:cs="仿宋"/>
          <w:sz w:val="30"/>
          <w:szCs w:val="30"/>
        </w:rPr>
      </w:pPr>
      <w:r>
        <w:rPr>
          <w:rFonts w:hint="eastAsia" w:ascii="仿宋" w:hAnsi="仿宋" w:eastAsia="仿宋" w:cs="仿宋"/>
          <w:sz w:val="30"/>
          <w:szCs w:val="30"/>
        </w:rPr>
        <w:t xml:space="preserve">（一）一般公共服务支出年初预算数为 </w:t>
      </w:r>
      <w:r>
        <w:rPr>
          <w:rFonts w:hint="eastAsia" w:ascii="仿宋" w:hAnsi="仿宋" w:eastAsia="仿宋" w:cs="仿宋"/>
          <w:sz w:val="30"/>
          <w:szCs w:val="30"/>
          <w:lang w:val="en-US" w:eastAsia="zh-CN"/>
        </w:rPr>
        <w:t>539.51</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403.89</w:t>
      </w:r>
      <w:r>
        <w:rPr>
          <w:rFonts w:hint="eastAsia" w:ascii="仿宋" w:hAnsi="仿宋" w:eastAsia="仿宋" w:cs="仿宋"/>
          <w:sz w:val="30"/>
          <w:szCs w:val="30"/>
        </w:rPr>
        <w:t xml:space="preserve">万元，完成年初预算的 </w:t>
      </w:r>
      <w:r>
        <w:rPr>
          <w:rFonts w:hint="eastAsia" w:ascii="仿宋" w:hAnsi="仿宋" w:eastAsia="仿宋" w:cs="仿宋"/>
          <w:sz w:val="30"/>
          <w:szCs w:val="30"/>
          <w:lang w:val="en-US" w:eastAsia="zh-CN"/>
        </w:rPr>
        <w:t>74.86</w:t>
      </w:r>
      <w:r>
        <w:rPr>
          <w:rFonts w:hint="eastAsia" w:ascii="仿宋" w:hAnsi="仿宋" w:eastAsia="仿宋" w:cs="仿宋"/>
          <w:sz w:val="30"/>
          <w:szCs w:val="30"/>
        </w:rPr>
        <w:t xml:space="preserve"> %，主要原因是：</w:t>
      </w:r>
      <w:r>
        <w:rPr>
          <w:rFonts w:hint="eastAsia" w:ascii="仿宋" w:hAnsi="仿宋" w:eastAsia="仿宋" w:cs="仿宋"/>
          <w:sz w:val="30"/>
          <w:szCs w:val="30"/>
          <w:lang w:eastAsia="zh-CN"/>
        </w:rPr>
        <w:t>部分项目未实施</w:t>
      </w:r>
      <w:r>
        <w:rPr>
          <w:rFonts w:hint="eastAsia" w:ascii="仿宋" w:hAnsi="仿宋" w:eastAsia="仿宋" w:cs="仿宋"/>
          <w:sz w:val="30"/>
          <w:szCs w:val="30"/>
        </w:rPr>
        <w:t>。</w:t>
      </w:r>
    </w:p>
    <w:p>
      <w:pPr>
        <w:ind w:firstLine="585"/>
        <w:jc w:val="left"/>
        <w:rPr>
          <w:rFonts w:hint="eastAsia" w:ascii="仿宋" w:hAnsi="仿宋" w:eastAsia="仿宋" w:cs="仿宋"/>
          <w:b/>
          <w:bCs/>
          <w:sz w:val="30"/>
          <w:szCs w:val="30"/>
        </w:rPr>
      </w:pPr>
      <w:r>
        <w:rPr>
          <w:rFonts w:hint="eastAsia" w:ascii="仿宋" w:hAnsi="仿宋" w:eastAsia="仿宋" w:cs="仿宋"/>
          <w:b/>
          <w:bCs/>
          <w:sz w:val="30"/>
          <w:szCs w:val="30"/>
        </w:rPr>
        <w:t>四、一般公共预算财政拨款基本支出决算情况说明</w:t>
      </w:r>
    </w:p>
    <w:p>
      <w:pPr>
        <w:ind w:firstLine="585"/>
        <w:jc w:val="left"/>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年度一般公共预算财政拨款基本支出  </w:t>
      </w:r>
      <w:r>
        <w:rPr>
          <w:rFonts w:hint="eastAsia" w:ascii="仿宋" w:hAnsi="仿宋" w:eastAsia="仿宋" w:cs="仿宋"/>
          <w:sz w:val="30"/>
          <w:szCs w:val="30"/>
          <w:lang w:val="en-US" w:eastAsia="zh-CN"/>
        </w:rPr>
        <w:t>291.69</w:t>
      </w:r>
      <w:r>
        <w:rPr>
          <w:rFonts w:hint="eastAsia" w:ascii="仿宋" w:hAnsi="仿宋" w:eastAsia="仿宋" w:cs="仿宋"/>
          <w:sz w:val="30"/>
          <w:szCs w:val="30"/>
        </w:rPr>
        <w:t>万元，其中：</w:t>
      </w:r>
    </w:p>
    <w:p>
      <w:pPr>
        <w:numPr>
          <w:ilvl w:val="0"/>
          <w:numId w:val="1"/>
        </w:numPr>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rPr>
        <w:t>工资福利支出</w:t>
      </w:r>
      <w:r>
        <w:rPr>
          <w:rFonts w:hint="eastAsia" w:ascii="仿宋" w:hAnsi="仿宋" w:eastAsia="仿宋" w:cs="仿宋"/>
          <w:sz w:val="30"/>
          <w:szCs w:val="30"/>
          <w:lang w:val="en-US" w:eastAsia="zh-CN"/>
        </w:rPr>
        <w:t>189.56</w:t>
      </w:r>
      <w:r>
        <w:rPr>
          <w:rFonts w:hint="eastAsia" w:ascii="仿宋" w:hAnsi="仿宋" w:eastAsia="仿宋" w:cs="仿宋"/>
          <w:sz w:val="30"/>
          <w:szCs w:val="30"/>
        </w:rPr>
        <w:t>万元</w:t>
      </w:r>
      <w:r>
        <w:rPr>
          <w:rFonts w:hint="eastAsia" w:ascii="仿宋" w:hAnsi="仿宋" w:eastAsia="仿宋" w:cs="仿宋"/>
          <w:sz w:val="30"/>
          <w:szCs w:val="30"/>
          <w:lang w:val="en-US" w:eastAsia="zh-CN"/>
        </w:rPr>
        <w:t>.</w:t>
      </w:r>
    </w:p>
    <w:p>
      <w:pPr>
        <w:numPr>
          <w:ilvl w:val="0"/>
          <w:numId w:val="0"/>
        </w:numPr>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 xml:space="preserve">（二）商品和服务支出 </w:t>
      </w:r>
      <w:r>
        <w:rPr>
          <w:rFonts w:hint="eastAsia" w:ascii="仿宋" w:hAnsi="仿宋" w:eastAsia="仿宋" w:cs="仿宋"/>
          <w:sz w:val="30"/>
          <w:szCs w:val="30"/>
          <w:lang w:val="en-US" w:eastAsia="zh-CN"/>
        </w:rPr>
        <w:t>84.5</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ind w:firstLine="585"/>
        <w:jc w:val="left"/>
        <w:rPr>
          <w:rFonts w:hint="eastAsia" w:ascii="仿宋" w:hAnsi="仿宋" w:eastAsia="仿宋" w:cs="仿宋"/>
          <w:sz w:val="30"/>
          <w:szCs w:val="30"/>
          <w:lang w:eastAsia="zh-CN"/>
        </w:rPr>
      </w:pPr>
      <w:r>
        <w:rPr>
          <w:rFonts w:hint="eastAsia" w:ascii="仿宋" w:hAnsi="仿宋" w:eastAsia="仿宋" w:cs="仿宋"/>
          <w:sz w:val="30"/>
          <w:szCs w:val="30"/>
        </w:rPr>
        <w:t xml:space="preserve">（三）对个人和家庭补助支出 </w:t>
      </w:r>
      <w:r>
        <w:rPr>
          <w:rFonts w:hint="eastAsia" w:ascii="仿宋" w:hAnsi="仿宋" w:eastAsia="仿宋" w:cs="仿宋"/>
          <w:sz w:val="30"/>
          <w:szCs w:val="30"/>
          <w:lang w:val="en-US" w:eastAsia="zh-CN"/>
        </w:rPr>
        <w:t>17.72</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rPr>
        <w:t xml:space="preserve">（四）资本性支出 </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五、一般公共预算财政拨款“三公”经费支出决算情况说明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年度一般公共预算财政拨款“三公”经费支出年初预算数为</w:t>
      </w:r>
      <w:r>
        <w:rPr>
          <w:rFonts w:hint="eastAsia" w:ascii="仿宋" w:hAnsi="仿宋" w:eastAsia="仿宋" w:cs="仿宋"/>
          <w:sz w:val="30"/>
          <w:szCs w:val="30"/>
          <w:lang w:val="en-US" w:eastAsia="zh-CN"/>
        </w:rPr>
        <w:t>5</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2.7</w:t>
      </w:r>
      <w:r>
        <w:rPr>
          <w:rFonts w:hint="eastAsia" w:ascii="仿宋" w:hAnsi="仿宋" w:eastAsia="仿宋" w:cs="仿宋"/>
          <w:sz w:val="30"/>
          <w:szCs w:val="30"/>
        </w:rPr>
        <w:t xml:space="preserve">万元，完成预算的 </w:t>
      </w:r>
      <w:r>
        <w:rPr>
          <w:rFonts w:hint="eastAsia" w:ascii="仿宋" w:hAnsi="仿宋" w:eastAsia="仿宋" w:cs="仿宋"/>
          <w:sz w:val="30"/>
          <w:szCs w:val="30"/>
          <w:lang w:val="en-US" w:eastAsia="zh-CN"/>
        </w:rPr>
        <w:t>54</w:t>
      </w:r>
      <w:r>
        <w:rPr>
          <w:rFonts w:hint="eastAsia" w:ascii="仿宋" w:hAnsi="仿宋" w:eastAsia="仿宋" w:cs="仿宋"/>
          <w:sz w:val="30"/>
          <w:szCs w:val="30"/>
        </w:rPr>
        <w:t xml:space="preserve"> %，其中：</w:t>
      </w:r>
    </w:p>
    <w:p>
      <w:pPr>
        <w:ind w:firstLine="630"/>
        <w:jc w:val="left"/>
        <w:rPr>
          <w:rFonts w:hint="eastAsia" w:ascii="仿宋" w:hAnsi="仿宋" w:eastAsia="仿宋" w:cs="仿宋"/>
          <w:sz w:val="30"/>
          <w:szCs w:val="30"/>
        </w:rPr>
      </w:pPr>
      <w:r>
        <w:rPr>
          <w:rFonts w:hint="eastAsia" w:ascii="仿宋" w:hAnsi="仿宋" w:eastAsia="仿宋" w:cs="仿宋"/>
          <w:sz w:val="30"/>
          <w:szCs w:val="30"/>
        </w:rPr>
        <w:t xml:space="preserve">（一）因公出国（境）支出年初预算数为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万元，决算数为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万元，完成预算的 %，决算数较201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0</w:t>
      </w:r>
      <w:r>
        <w:rPr>
          <w:rFonts w:hint="eastAsia" w:ascii="仿宋" w:hAnsi="仿宋" w:eastAsia="仿宋" w:cs="仿宋"/>
          <w:sz w:val="30"/>
          <w:szCs w:val="30"/>
        </w:rPr>
        <w:t>万元，决算数较年初预算数减少的主要原因是：</w:t>
      </w:r>
      <w:r>
        <w:rPr>
          <w:rFonts w:hint="eastAsia" w:ascii="仿宋" w:hAnsi="仿宋" w:eastAsia="仿宋" w:cs="仿宋"/>
          <w:sz w:val="30"/>
          <w:szCs w:val="30"/>
          <w:lang w:eastAsia="zh-CN"/>
        </w:rPr>
        <w:t>未开支</w:t>
      </w:r>
      <w:r>
        <w:rPr>
          <w:rFonts w:hint="eastAsia" w:ascii="仿宋" w:hAnsi="仿宋" w:eastAsia="仿宋" w:cs="仿宋"/>
          <w:sz w:val="30"/>
          <w:szCs w:val="30"/>
        </w:rPr>
        <w:t>。</w:t>
      </w:r>
    </w:p>
    <w:p>
      <w:pPr>
        <w:ind w:firstLine="630"/>
        <w:jc w:val="left"/>
        <w:rPr>
          <w:rFonts w:hint="eastAsia" w:ascii="仿宋" w:hAnsi="仿宋" w:eastAsia="仿宋" w:cs="仿宋"/>
          <w:sz w:val="30"/>
          <w:szCs w:val="30"/>
        </w:rPr>
      </w:pPr>
      <w:r>
        <w:rPr>
          <w:rFonts w:hint="eastAsia" w:ascii="仿宋" w:hAnsi="仿宋" w:eastAsia="仿宋" w:cs="仿宋"/>
          <w:sz w:val="30"/>
          <w:szCs w:val="30"/>
        </w:rPr>
        <w:t xml:space="preserve">（二）公务接待费支出年初预算数为 </w:t>
      </w:r>
      <w:r>
        <w:rPr>
          <w:rFonts w:hint="eastAsia" w:ascii="仿宋" w:hAnsi="仿宋" w:eastAsia="仿宋" w:cs="仿宋"/>
          <w:sz w:val="30"/>
          <w:szCs w:val="30"/>
          <w:lang w:val="en-US" w:eastAsia="zh-CN"/>
        </w:rPr>
        <w:t>5</w:t>
      </w:r>
      <w:r>
        <w:rPr>
          <w:rFonts w:hint="eastAsia" w:ascii="仿宋" w:hAnsi="仿宋" w:eastAsia="仿宋" w:cs="仿宋"/>
          <w:sz w:val="30"/>
          <w:szCs w:val="30"/>
        </w:rPr>
        <w:t xml:space="preserve"> 万元，决算数为</w:t>
      </w:r>
      <w:r>
        <w:rPr>
          <w:rFonts w:hint="eastAsia" w:ascii="仿宋" w:hAnsi="仿宋" w:eastAsia="仿宋" w:cs="仿宋"/>
          <w:sz w:val="30"/>
          <w:szCs w:val="30"/>
          <w:lang w:val="en-US" w:eastAsia="zh-CN"/>
        </w:rPr>
        <w:t>2.7</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54</w:t>
      </w:r>
      <w:r>
        <w:rPr>
          <w:rFonts w:hint="eastAsia" w:ascii="仿宋" w:hAnsi="仿宋" w:eastAsia="仿宋" w:cs="仿宋"/>
          <w:sz w:val="30"/>
          <w:szCs w:val="30"/>
        </w:rPr>
        <w:t xml:space="preserve"> %，决算数较年初预算数减少的主要原因是：</w:t>
      </w:r>
      <w:r>
        <w:rPr>
          <w:rFonts w:hint="eastAsia" w:ascii="仿宋" w:hAnsi="仿宋" w:eastAsia="仿宋" w:cs="仿宋"/>
          <w:sz w:val="30"/>
          <w:szCs w:val="30"/>
          <w:lang w:eastAsia="zh-CN"/>
        </w:rPr>
        <w:t>厉行节约</w:t>
      </w:r>
      <w:r>
        <w:rPr>
          <w:rFonts w:hint="eastAsia" w:ascii="仿宋" w:hAnsi="仿宋" w:eastAsia="仿宋" w:cs="仿宋"/>
          <w:sz w:val="30"/>
          <w:szCs w:val="30"/>
        </w:rPr>
        <w:t>。</w:t>
      </w:r>
    </w:p>
    <w:p>
      <w:pPr>
        <w:ind w:firstLine="630"/>
        <w:jc w:val="left"/>
        <w:rPr>
          <w:rFonts w:hint="eastAsia" w:ascii="仿宋" w:hAnsi="仿宋" w:eastAsia="仿宋" w:cs="仿宋"/>
          <w:sz w:val="30"/>
          <w:szCs w:val="30"/>
        </w:rPr>
      </w:pPr>
      <w:r>
        <w:rPr>
          <w:rFonts w:hint="eastAsia" w:ascii="仿宋" w:hAnsi="仿宋" w:eastAsia="仿宋" w:cs="仿宋"/>
          <w:sz w:val="30"/>
          <w:szCs w:val="30"/>
        </w:rPr>
        <w:t>（三）公务用车购置及运行维护费支出</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万元，其中公务用车购置年初预算数为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万元，决算数为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万元，完成预算的 %，决算数较20</w:t>
      </w:r>
      <w:r>
        <w:rPr>
          <w:rFonts w:hint="eastAsia" w:ascii="仿宋" w:hAnsi="仿宋" w:eastAsia="仿宋" w:cs="仿宋"/>
          <w:sz w:val="30"/>
          <w:szCs w:val="30"/>
          <w:lang w:val="en-US" w:eastAsia="zh-CN"/>
        </w:rPr>
        <w:t>8</w:t>
      </w:r>
      <w:r>
        <w:rPr>
          <w:rFonts w:hint="eastAsia" w:ascii="仿宋" w:hAnsi="仿宋" w:eastAsia="仿宋" w:cs="仿宋"/>
          <w:sz w:val="30"/>
          <w:szCs w:val="30"/>
        </w:rPr>
        <w:t xml:space="preserve">7年增加（减少）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万元，增长（下降）  %。决算数较年初预算数增加（减少）的主要原因是：</w:t>
      </w:r>
      <w:r>
        <w:rPr>
          <w:rFonts w:hint="eastAsia" w:ascii="仿宋" w:hAnsi="仿宋" w:eastAsia="仿宋" w:cs="仿宋"/>
          <w:sz w:val="30"/>
          <w:szCs w:val="30"/>
          <w:lang w:eastAsia="zh-CN"/>
        </w:rPr>
        <w:t>公车改革</w:t>
      </w:r>
      <w:r>
        <w:rPr>
          <w:rFonts w:hint="eastAsia" w:ascii="仿宋" w:hAnsi="仿宋" w:eastAsia="仿宋" w:cs="仿宋"/>
          <w:sz w:val="30"/>
          <w:szCs w:val="30"/>
        </w:rPr>
        <w:t xml:space="preserve">；公务用车运行维护费支出年初预算数为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万元，完成预算的 %，决算数较2017年增加（减少）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万元，增长（下降）  %。决算数较年初预算数增加（减少）的主要原因是：</w:t>
      </w:r>
      <w:r>
        <w:rPr>
          <w:rFonts w:hint="eastAsia" w:ascii="仿宋" w:hAnsi="仿宋" w:eastAsia="仿宋" w:cs="仿宋"/>
          <w:sz w:val="30"/>
          <w:szCs w:val="30"/>
          <w:lang w:eastAsia="zh-CN"/>
        </w:rPr>
        <w:t>未开支</w:t>
      </w:r>
      <w:r>
        <w:rPr>
          <w:rFonts w:hint="eastAsia" w:ascii="仿宋" w:hAnsi="仿宋" w:eastAsia="仿宋" w:cs="仿宋"/>
          <w:sz w:val="30"/>
          <w:szCs w:val="30"/>
        </w:rPr>
        <w:t>。</w:t>
      </w:r>
    </w:p>
    <w:p>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六、机关运行经费支出情况说明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年度机关运行经费支出 </w:t>
      </w:r>
      <w:r>
        <w:rPr>
          <w:rFonts w:hint="eastAsia" w:ascii="仿宋" w:hAnsi="仿宋" w:eastAsia="仿宋" w:cs="仿宋"/>
          <w:sz w:val="30"/>
          <w:szCs w:val="30"/>
          <w:lang w:val="en-US" w:eastAsia="zh-CN"/>
        </w:rPr>
        <w:t>84.24</w:t>
      </w:r>
      <w:r>
        <w:rPr>
          <w:rFonts w:hint="eastAsia" w:ascii="仿宋" w:hAnsi="仿宋" w:eastAsia="仿宋" w:cs="仿宋"/>
          <w:sz w:val="30"/>
          <w:szCs w:val="30"/>
        </w:rPr>
        <w:t xml:space="preserve">万元（与部门决算中行政单位和参照公务员法管理事业单位一般公共预算财政拨款基本支出中公用经费之和保持一致）。 </w:t>
      </w:r>
    </w:p>
    <w:p>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七、政府采购支出情况说明</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年度政府采购支出总额 </w:t>
      </w:r>
      <w:r>
        <w:rPr>
          <w:rFonts w:hint="eastAsia" w:ascii="仿宋" w:hAnsi="仿宋" w:eastAsia="仿宋" w:cs="仿宋"/>
          <w:sz w:val="30"/>
          <w:szCs w:val="30"/>
          <w:lang w:val="en-US" w:eastAsia="zh-CN"/>
        </w:rPr>
        <w:t>0</w:t>
      </w:r>
      <w:r>
        <w:rPr>
          <w:rFonts w:hint="eastAsia" w:ascii="仿宋" w:hAnsi="仿宋" w:eastAsia="仿宋" w:cs="仿宋"/>
          <w:sz w:val="30"/>
          <w:szCs w:val="30"/>
        </w:rPr>
        <w:t>万元，其中：政府采购货物支出</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万元、政府采购工程支出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万元、政府采购服务支出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万元。授予中小企业合同金额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万元，占政府采购支出总额的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%，其中：授予小微企业合同金额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万元，占政府采购支出总额的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%。（省级部门公开的政府采购金额的计算口径为：本部门纳入201</w:t>
      </w:r>
      <w:r>
        <w:rPr>
          <w:rFonts w:hint="eastAsia" w:ascii="仿宋" w:hAnsi="仿宋" w:eastAsia="仿宋" w:cs="仿宋"/>
          <w:sz w:val="30"/>
          <w:szCs w:val="30"/>
          <w:lang w:val="en-US" w:eastAsia="zh-CN"/>
        </w:rPr>
        <w:t>9</w:t>
      </w:r>
      <w:r>
        <w:rPr>
          <w:rFonts w:hint="eastAsia" w:ascii="仿宋" w:hAnsi="仿宋" w:eastAsia="仿宋" w:cs="仿宋"/>
          <w:sz w:val="30"/>
          <w:szCs w:val="30"/>
        </w:rPr>
        <w:t>年部门预算范围的各项政府采购支出金额之和，并做好与201</w:t>
      </w:r>
      <w:r>
        <w:rPr>
          <w:rFonts w:hint="eastAsia" w:ascii="仿宋" w:hAnsi="仿宋" w:eastAsia="仿宋" w:cs="仿宋"/>
          <w:sz w:val="30"/>
          <w:szCs w:val="30"/>
          <w:lang w:val="en-US" w:eastAsia="zh-CN"/>
        </w:rPr>
        <w:t>9</w:t>
      </w:r>
      <w:r>
        <w:rPr>
          <w:rFonts w:hint="eastAsia" w:ascii="仿宋" w:hAnsi="仿宋" w:eastAsia="仿宋" w:cs="仿宋"/>
          <w:sz w:val="30"/>
          <w:szCs w:val="30"/>
        </w:rPr>
        <w:t>年度政府采购信息统计报表中“政府采购资金情况表”有关数据的衔接。）</w:t>
      </w:r>
    </w:p>
    <w:p>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八、国有资产占用情况说明。</w:t>
      </w:r>
    </w:p>
    <w:p>
      <w:pPr>
        <w:ind w:firstLine="630"/>
        <w:jc w:val="left"/>
        <w:rPr>
          <w:rFonts w:hint="eastAsia" w:ascii="仿宋" w:hAnsi="仿宋" w:eastAsia="仿宋" w:cs="仿宋"/>
          <w:kern w:val="0"/>
          <w:sz w:val="30"/>
          <w:szCs w:val="30"/>
        </w:rPr>
      </w:pPr>
      <w:r>
        <w:rPr>
          <w:rFonts w:hint="eastAsia" w:ascii="仿宋" w:hAnsi="仿宋" w:eastAsia="仿宋" w:cs="仿宋"/>
          <w:kern w:val="0"/>
          <w:sz w:val="30"/>
          <w:szCs w:val="30"/>
        </w:rPr>
        <w:t>截止201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年12月31日，本部门共有车辆</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辆，其中，副部（省）级及以上领导用车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辆、主要领导干部用车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辆、机要通信用车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辆、应急保障用车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辆、执法执勤用车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辆、特种专业技术用车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辆、其他用车</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辆，其他用车主要是……；单位价值50万元以上通用设备  台（套）；单位价值100万元以上专用设备</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 xml:space="preserve"> 个，二级项目</w:t>
      </w: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80</w:t>
      </w:r>
      <w:r>
        <w:rPr>
          <w:rFonts w:hint="eastAsia" w:ascii="仿宋" w:hAnsi="仿宋" w:eastAsia="仿宋" w:cs="仿宋_GB2312"/>
          <w:kern w:val="0"/>
          <w:sz w:val="30"/>
          <w:szCs w:val="30"/>
        </w:rPr>
        <w:t xml:space="preserve">  万元，占一般公共预算项目支出总额的</w:t>
      </w:r>
      <w:r>
        <w:rPr>
          <w:rFonts w:hint="eastAsia" w:ascii="仿宋" w:hAnsi="仿宋" w:eastAsia="仿宋" w:cs="仿宋_GB2312"/>
          <w:kern w:val="0"/>
          <w:sz w:val="30"/>
          <w:szCs w:val="30"/>
          <w:lang w:val="en-US" w:eastAsia="zh-CN"/>
        </w:rPr>
        <w:t>65.58</w:t>
      </w:r>
      <w:r>
        <w:rPr>
          <w:rFonts w:hint="eastAsia" w:ascii="仿宋" w:hAnsi="仿宋" w:eastAsia="仿宋" w:cs="仿宋_GB2312"/>
          <w:kern w:val="0"/>
          <w:sz w:val="30"/>
          <w:szCs w:val="30"/>
        </w:rPr>
        <w:t xml:space="preserve"> %。</w:t>
      </w:r>
      <w:bookmarkStart w:id="0" w:name="_GoBack"/>
      <w:bookmarkEnd w:id="0"/>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妇女儿童工作经费</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妇女儿童发展专项资金基金</w:t>
      </w:r>
      <w:r>
        <w:rPr>
          <w:rFonts w:hint="eastAsia" w:ascii="仿宋" w:hAnsi="仿宋" w:eastAsia="仿宋" w:cs="仿宋_GB2312"/>
          <w:kern w:val="0"/>
          <w:sz w:val="30"/>
          <w:szCs w:val="30"/>
        </w:rPr>
        <w:t xml:space="preserve">”等 </w:t>
      </w:r>
      <w:r>
        <w:rPr>
          <w:rFonts w:hint="eastAsia" w:ascii="仿宋" w:hAnsi="仿宋" w:eastAsia="仿宋" w:cs="仿宋_GB2312"/>
          <w:kern w:val="0"/>
          <w:sz w:val="30"/>
          <w:szCs w:val="30"/>
          <w:lang w:val="en-US" w:eastAsia="zh-CN"/>
        </w:rPr>
        <w:t>2</w:t>
      </w:r>
      <w:r>
        <w:rPr>
          <w:rFonts w:hint="eastAsia" w:ascii="仿宋" w:hAnsi="仿宋" w:eastAsia="仿宋" w:cs="仿宋_GB2312"/>
          <w:kern w:val="0"/>
          <w:sz w:val="30"/>
          <w:szCs w:val="30"/>
        </w:rPr>
        <w:t xml:space="preserve"> 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 xml:space="preserve">评价，涉及一般公共预算支出 </w:t>
      </w:r>
      <w:r>
        <w:rPr>
          <w:rFonts w:hint="eastAsia" w:ascii="仿宋" w:hAnsi="仿宋" w:eastAsia="仿宋" w:cs="仿宋_GB2312"/>
          <w:kern w:val="0"/>
          <w:sz w:val="30"/>
          <w:szCs w:val="30"/>
          <w:lang w:val="en-US" w:eastAsia="zh-CN"/>
        </w:rPr>
        <w:t>80</w:t>
      </w:r>
      <w:r>
        <w:rPr>
          <w:rFonts w:hint="eastAsia" w:ascii="仿宋" w:hAnsi="仿宋" w:eastAsia="仿宋" w:cs="仿宋_GB2312"/>
          <w:kern w:val="0"/>
          <w:sz w:val="30"/>
          <w:szCs w:val="30"/>
        </w:rPr>
        <w:t xml:space="preserve"> 万元。其中，对</w:t>
      </w:r>
      <w:r>
        <w:rPr>
          <w:rFonts w:hint="eastAsia" w:ascii="仿宋" w:hAnsi="仿宋" w:eastAsia="仿宋" w:cs="仿宋_GB2312"/>
          <w:kern w:val="0"/>
          <w:sz w:val="30"/>
          <w:szCs w:val="30"/>
          <w:lang w:eastAsia="zh-CN"/>
        </w:rPr>
        <w:t>部门整体预算绩效</w:t>
      </w:r>
      <w:r>
        <w:rPr>
          <w:rFonts w:hint="eastAsia" w:ascii="仿宋" w:hAnsi="仿宋" w:eastAsia="仿宋" w:cs="仿宋_GB2312"/>
          <w:kern w:val="0"/>
          <w:sz w:val="30"/>
          <w:szCs w:val="30"/>
        </w:rPr>
        <w:t>委托第三方机构开展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26" w:lineRule="atLeast"/>
        <w:ind w:left="0" w:right="0" w:firstLine="42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rPr>
        <w:t>妇联是党和政府联系妇女群众的桥梁和纽带，是国家政权的重要社会支柱。体现了妇联妇女利益代言人的合法性和权威性</w:t>
      </w:r>
      <w:r>
        <w:rPr>
          <w:rFonts w:hint="eastAsia" w:ascii="仿宋" w:hAnsi="仿宋" w:eastAsia="仿宋" w:cs="仿宋"/>
          <w:i w:val="0"/>
          <w:caps w:val="0"/>
          <w:color w:val="333333"/>
          <w:spacing w:val="0"/>
          <w:sz w:val="30"/>
          <w:szCs w:val="30"/>
          <w:lang w:eastAsia="zh-CN"/>
        </w:rPr>
        <w:t>，</w:t>
      </w:r>
      <w:r>
        <w:rPr>
          <w:rFonts w:hint="eastAsia" w:ascii="仿宋" w:hAnsi="仿宋" w:eastAsia="仿宋" w:cs="仿宋"/>
          <w:i w:val="0"/>
          <w:caps w:val="0"/>
          <w:color w:val="333333"/>
          <w:spacing w:val="0"/>
          <w:sz w:val="30"/>
          <w:szCs w:val="30"/>
        </w:rPr>
        <w:t>妇联组织承担着处理国家妇女事务和促进妇女发展的管理职能。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26" w:lineRule="atLeast"/>
        <w:ind w:left="0" w:right="0" w:firstLine="42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rPr>
        <w:t>201</w:t>
      </w:r>
      <w:r>
        <w:rPr>
          <w:rFonts w:hint="eastAsia" w:ascii="仿宋" w:hAnsi="仿宋" w:eastAsia="仿宋" w:cs="仿宋"/>
          <w:i w:val="0"/>
          <w:caps w:val="0"/>
          <w:color w:val="333333"/>
          <w:spacing w:val="0"/>
          <w:sz w:val="30"/>
          <w:szCs w:val="30"/>
          <w:lang w:val="en-US" w:eastAsia="zh-CN"/>
        </w:rPr>
        <w:t>9</w:t>
      </w:r>
      <w:r>
        <w:rPr>
          <w:rFonts w:hint="eastAsia" w:ascii="仿宋" w:hAnsi="仿宋" w:eastAsia="仿宋" w:cs="仿宋"/>
          <w:i w:val="0"/>
          <w:caps w:val="0"/>
          <w:color w:val="333333"/>
          <w:spacing w:val="0"/>
          <w:sz w:val="30"/>
          <w:szCs w:val="30"/>
        </w:rPr>
        <w:t>年</w:t>
      </w:r>
      <w:r>
        <w:rPr>
          <w:rFonts w:hint="eastAsia" w:ascii="仿宋" w:hAnsi="仿宋" w:eastAsia="仿宋" w:cs="仿宋"/>
          <w:i w:val="0"/>
          <w:caps w:val="0"/>
          <w:color w:val="333333"/>
          <w:spacing w:val="0"/>
          <w:sz w:val="30"/>
          <w:szCs w:val="30"/>
          <w:lang w:eastAsia="zh-CN"/>
        </w:rPr>
        <w:t>景德镇市</w:t>
      </w:r>
      <w:r>
        <w:rPr>
          <w:rFonts w:hint="eastAsia" w:ascii="仿宋" w:hAnsi="仿宋" w:eastAsia="仿宋" w:cs="仿宋"/>
          <w:i w:val="0"/>
          <w:caps w:val="0"/>
          <w:color w:val="333333"/>
          <w:spacing w:val="0"/>
          <w:sz w:val="30"/>
          <w:szCs w:val="30"/>
        </w:rPr>
        <w:t>妇联，大力举办妇女各项技能培训,开展各类优秀妇女的评选、表彰活动，开展贫困妇女儿童慰问活动，等等，以高效、服务、务实、廉洁为要求，增强服务意识，提高服务效率，注重服务质量，圆满完成各项工作任务，得到了上级部门和广大群众的好评。</w:t>
      </w:r>
    </w:p>
    <w:p>
      <w:pPr>
        <w:ind w:firstLine="600" w:firstLineChars="200"/>
        <w:rPr>
          <w:rFonts w:hint="eastAsia" w:ascii="仿宋" w:hAnsi="仿宋" w:eastAsia="仿宋" w:cs="仿宋"/>
          <w:sz w:val="30"/>
          <w:szCs w:val="30"/>
        </w:rPr>
      </w:pPr>
      <w:r>
        <w:rPr>
          <w:rStyle w:val="6"/>
          <w:rFonts w:hint="eastAsia" w:ascii="仿宋" w:hAnsi="仿宋" w:eastAsia="仿宋" w:cs="仿宋"/>
          <w:sz w:val="30"/>
          <w:szCs w:val="30"/>
        </w:rPr>
        <w:t>此次评价按照预算绩效管理要求，结合</w:t>
      </w:r>
      <w:r>
        <w:rPr>
          <w:rStyle w:val="6"/>
          <w:rFonts w:hint="eastAsia" w:ascii="仿宋" w:hAnsi="仿宋" w:eastAsia="仿宋" w:cs="仿宋"/>
          <w:sz w:val="30"/>
          <w:szCs w:val="30"/>
          <w:lang w:eastAsia="zh-CN"/>
        </w:rPr>
        <w:t>景德镇市妇联</w:t>
      </w:r>
      <w:r>
        <w:rPr>
          <w:rStyle w:val="6"/>
          <w:rFonts w:hint="eastAsia" w:ascii="仿宋" w:hAnsi="仿宋" w:eastAsia="仿宋" w:cs="仿宋"/>
          <w:sz w:val="30"/>
          <w:szCs w:val="30"/>
        </w:rPr>
        <w:t>实际情况，设立一级指标四个、二级指标12个、三级指标29个，总分100分。经逐项对照“评价标准”考评，实际得分为</w:t>
      </w:r>
      <w:r>
        <w:rPr>
          <w:rStyle w:val="6"/>
          <w:rFonts w:hint="eastAsia" w:ascii="仿宋" w:hAnsi="仿宋" w:eastAsia="仿宋" w:cs="仿宋"/>
          <w:sz w:val="30"/>
          <w:szCs w:val="30"/>
          <w:lang w:val="en-US" w:eastAsia="zh-CN"/>
        </w:rPr>
        <w:t>91</w:t>
      </w:r>
      <w:r>
        <w:rPr>
          <w:rStyle w:val="6"/>
          <w:rFonts w:hint="eastAsia" w:ascii="仿宋" w:hAnsi="仿宋" w:eastAsia="仿宋" w:cs="仿宋"/>
          <w:sz w:val="30"/>
          <w:szCs w:val="30"/>
        </w:rPr>
        <w:t>分（详见附表），定格等次为“优”。</w:t>
      </w:r>
    </w:p>
    <w:p>
      <w:pPr>
        <w:spacing w:line="240" w:lineRule="auto"/>
        <w:ind w:firstLine="600" w:firstLineChars="200"/>
        <w:rPr>
          <w:rStyle w:val="6"/>
          <w:rFonts w:hint="eastAsia" w:ascii="仿宋" w:hAnsi="仿宋" w:eastAsia="仿宋" w:cs="仿宋"/>
          <w:sz w:val="30"/>
          <w:szCs w:val="30"/>
        </w:rPr>
      </w:pPr>
      <w:r>
        <w:rPr>
          <w:rStyle w:val="6"/>
          <w:rFonts w:hint="eastAsia" w:ascii="仿宋" w:hAnsi="仿宋" w:eastAsia="仿宋" w:cs="仿宋"/>
          <w:sz w:val="30"/>
          <w:szCs w:val="30"/>
        </w:rPr>
        <w:t>（一）一级指标“投入”设置权重12分，下设一个二级指标，三个三级指标，经测评，得12分，得分比为100%。</w:t>
      </w:r>
    </w:p>
    <w:p>
      <w:pPr>
        <w:spacing w:line="240" w:lineRule="auto"/>
        <w:ind w:firstLine="600" w:firstLineChars="200"/>
        <w:rPr>
          <w:rStyle w:val="6"/>
          <w:rFonts w:hint="eastAsia" w:ascii="仿宋" w:hAnsi="仿宋" w:eastAsia="仿宋" w:cs="仿宋"/>
          <w:sz w:val="30"/>
          <w:szCs w:val="30"/>
        </w:rPr>
      </w:pPr>
      <w:r>
        <w:rPr>
          <w:rStyle w:val="6"/>
          <w:rFonts w:hint="eastAsia" w:ascii="仿宋" w:hAnsi="仿宋" w:eastAsia="仿宋" w:cs="仿宋"/>
          <w:sz w:val="30"/>
          <w:szCs w:val="30"/>
        </w:rPr>
        <w:t>（二）一级指标“过程”设置权重37分，下设三个二级指标，十一个三级指标，经测评，得</w:t>
      </w:r>
      <w:r>
        <w:rPr>
          <w:rStyle w:val="6"/>
          <w:rFonts w:hint="eastAsia" w:ascii="仿宋" w:hAnsi="仿宋" w:eastAsia="仿宋" w:cs="仿宋"/>
          <w:sz w:val="30"/>
          <w:szCs w:val="30"/>
          <w:highlight w:val="none"/>
          <w:lang w:val="en-US" w:eastAsia="zh-CN"/>
        </w:rPr>
        <w:t>30</w:t>
      </w:r>
      <w:r>
        <w:rPr>
          <w:rStyle w:val="6"/>
          <w:rFonts w:hint="eastAsia" w:ascii="仿宋" w:hAnsi="仿宋" w:eastAsia="仿宋" w:cs="仿宋"/>
          <w:sz w:val="30"/>
          <w:szCs w:val="30"/>
          <w:highlight w:val="none"/>
        </w:rPr>
        <w:t>分，得分比为</w:t>
      </w:r>
      <w:r>
        <w:rPr>
          <w:rStyle w:val="6"/>
          <w:rFonts w:hint="eastAsia" w:ascii="仿宋" w:hAnsi="仿宋" w:eastAsia="仿宋" w:cs="仿宋"/>
          <w:sz w:val="30"/>
          <w:szCs w:val="30"/>
          <w:highlight w:val="none"/>
          <w:lang w:val="en-US" w:eastAsia="zh-CN"/>
        </w:rPr>
        <w:t>81.08</w:t>
      </w:r>
      <w:r>
        <w:rPr>
          <w:rStyle w:val="6"/>
          <w:rFonts w:hint="eastAsia" w:ascii="仿宋" w:hAnsi="仿宋" w:eastAsia="仿宋" w:cs="仿宋"/>
          <w:sz w:val="30"/>
          <w:szCs w:val="30"/>
          <w:highlight w:val="none"/>
        </w:rPr>
        <w:t>%</w:t>
      </w:r>
      <w:r>
        <w:rPr>
          <w:rStyle w:val="6"/>
          <w:rFonts w:hint="eastAsia" w:ascii="仿宋" w:hAnsi="仿宋" w:eastAsia="仿宋" w:cs="仿宋"/>
          <w:sz w:val="30"/>
          <w:szCs w:val="30"/>
        </w:rPr>
        <w:t>。</w:t>
      </w:r>
    </w:p>
    <w:p>
      <w:pPr>
        <w:spacing w:line="240" w:lineRule="auto"/>
        <w:ind w:firstLine="600" w:firstLineChars="200"/>
        <w:rPr>
          <w:rStyle w:val="6"/>
          <w:rFonts w:hint="eastAsia" w:ascii="仿宋" w:hAnsi="仿宋" w:eastAsia="仿宋" w:cs="仿宋"/>
          <w:sz w:val="30"/>
          <w:szCs w:val="30"/>
          <w:highlight w:val="none"/>
        </w:rPr>
      </w:pPr>
      <w:r>
        <w:rPr>
          <w:rStyle w:val="6"/>
          <w:rFonts w:hint="eastAsia" w:ascii="仿宋" w:hAnsi="仿宋" w:eastAsia="仿宋" w:cs="仿宋"/>
          <w:sz w:val="30"/>
          <w:szCs w:val="30"/>
        </w:rPr>
        <w:t>（三）一级指标“产出”设置权重28分，下设四个二级指标，八个三级指标，经测评，得</w:t>
      </w:r>
      <w:r>
        <w:rPr>
          <w:rStyle w:val="6"/>
          <w:rFonts w:hint="eastAsia" w:ascii="仿宋" w:hAnsi="仿宋" w:eastAsia="仿宋" w:cs="仿宋"/>
          <w:sz w:val="30"/>
          <w:szCs w:val="30"/>
          <w:highlight w:val="none"/>
          <w:lang w:val="en-US" w:eastAsia="zh-CN"/>
        </w:rPr>
        <w:t>26</w:t>
      </w:r>
      <w:r>
        <w:rPr>
          <w:rStyle w:val="6"/>
          <w:rFonts w:hint="eastAsia" w:ascii="仿宋" w:hAnsi="仿宋" w:eastAsia="仿宋" w:cs="仿宋"/>
          <w:sz w:val="30"/>
          <w:szCs w:val="30"/>
          <w:highlight w:val="none"/>
        </w:rPr>
        <w:t>分，得分比为</w:t>
      </w:r>
      <w:r>
        <w:rPr>
          <w:rStyle w:val="6"/>
          <w:rFonts w:hint="eastAsia" w:ascii="仿宋" w:hAnsi="仿宋" w:eastAsia="仿宋" w:cs="仿宋"/>
          <w:sz w:val="30"/>
          <w:szCs w:val="30"/>
          <w:highlight w:val="none"/>
          <w:lang w:val="en-US" w:eastAsia="zh-CN"/>
        </w:rPr>
        <w:t>92.86</w:t>
      </w:r>
      <w:r>
        <w:rPr>
          <w:rStyle w:val="6"/>
          <w:rFonts w:hint="eastAsia" w:ascii="仿宋" w:hAnsi="仿宋" w:eastAsia="仿宋" w:cs="仿宋"/>
          <w:sz w:val="30"/>
          <w:szCs w:val="30"/>
          <w:highlight w:val="none"/>
        </w:rPr>
        <w:t>%。</w:t>
      </w:r>
    </w:p>
    <w:p>
      <w:pPr>
        <w:spacing w:line="240" w:lineRule="auto"/>
        <w:ind w:firstLine="600" w:firstLineChars="200"/>
        <w:rPr>
          <w:rStyle w:val="6"/>
          <w:rFonts w:hint="eastAsia" w:ascii="仿宋" w:hAnsi="仿宋" w:eastAsia="仿宋" w:cs="仿宋"/>
          <w:sz w:val="30"/>
          <w:szCs w:val="30"/>
          <w:highlight w:val="none"/>
        </w:rPr>
      </w:pPr>
      <w:r>
        <w:rPr>
          <w:rStyle w:val="6"/>
          <w:rFonts w:hint="eastAsia" w:ascii="仿宋" w:hAnsi="仿宋" w:eastAsia="仿宋" w:cs="仿宋"/>
          <w:sz w:val="30"/>
          <w:szCs w:val="30"/>
        </w:rPr>
        <w:t>（四）一级指标“效果”设置权重23分，下设四个二级指标，七个三级指标，经测评，得</w:t>
      </w:r>
      <w:r>
        <w:rPr>
          <w:rStyle w:val="6"/>
          <w:rFonts w:hint="eastAsia" w:ascii="仿宋" w:hAnsi="仿宋" w:eastAsia="仿宋" w:cs="仿宋"/>
          <w:sz w:val="30"/>
          <w:szCs w:val="30"/>
          <w:highlight w:val="none"/>
          <w:lang w:val="en-US" w:eastAsia="zh-CN"/>
        </w:rPr>
        <w:t>23</w:t>
      </w:r>
      <w:r>
        <w:rPr>
          <w:rStyle w:val="6"/>
          <w:rFonts w:hint="eastAsia" w:ascii="仿宋" w:hAnsi="仿宋" w:eastAsia="仿宋" w:cs="仿宋"/>
          <w:sz w:val="30"/>
          <w:szCs w:val="30"/>
          <w:highlight w:val="none"/>
        </w:rPr>
        <w:t>分，得分比为</w:t>
      </w:r>
      <w:r>
        <w:rPr>
          <w:rStyle w:val="6"/>
          <w:rFonts w:hint="eastAsia" w:ascii="仿宋" w:hAnsi="仿宋" w:eastAsia="仿宋" w:cs="仿宋"/>
          <w:sz w:val="30"/>
          <w:szCs w:val="30"/>
          <w:highlight w:val="none"/>
          <w:lang w:val="en-US" w:eastAsia="zh-CN"/>
        </w:rPr>
        <w:t>100</w:t>
      </w:r>
      <w:r>
        <w:rPr>
          <w:rStyle w:val="6"/>
          <w:rFonts w:hint="eastAsia" w:ascii="仿宋" w:hAnsi="仿宋" w:eastAsia="仿宋" w:cs="仿宋"/>
          <w:sz w:val="30"/>
          <w:szCs w:val="30"/>
          <w:highlight w:val="none"/>
        </w:rPr>
        <w:t>%。</w:t>
      </w:r>
    </w:p>
    <w:tbl>
      <w:tblPr>
        <w:tblStyle w:val="3"/>
        <w:tblW w:w="8028" w:type="dxa"/>
        <w:tblInd w:w="0" w:type="dxa"/>
        <w:tblLayout w:type="fixed"/>
        <w:tblCellMar>
          <w:top w:w="0" w:type="dxa"/>
          <w:left w:w="0" w:type="dxa"/>
          <w:bottom w:w="0" w:type="dxa"/>
          <w:right w:w="0" w:type="dxa"/>
        </w:tblCellMar>
      </w:tblPr>
      <w:tblGrid>
        <w:gridCol w:w="544"/>
        <w:gridCol w:w="615"/>
        <w:gridCol w:w="1695"/>
        <w:gridCol w:w="3524"/>
        <w:gridCol w:w="480"/>
        <w:gridCol w:w="420"/>
        <w:gridCol w:w="750"/>
      </w:tblGrid>
      <w:tr>
        <w:trPr>
          <w:trHeight w:val="390" w:hRule="atLeast"/>
        </w:trPr>
        <w:tc>
          <w:tcPr>
            <w:tcW w:w="8028" w:type="dxa"/>
            <w:gridSpan w:val="7"/>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市妇联妇女儿童发展专项资金自评表</w:t>
            </w:r>
          </w:p>
        </w:tc>
      </w:tr>
      <w:tr>
        <w:tblPrEx>
          <w:tblCellMar>
            <w:top w:w="0" w:type="dxa"/>
            <w:left w:w="0" w:type="dxa"/>
            <w:bottom w:w="0" w:type="dxa"/>
            <w:right w:w="0" w:type="dxa"/>
          </w:tblCellMar>
        </w:tblPrEx>
        <w:trPr>
          <w:trHeight w:val="288" w:hRule="atLeast"/>
        </w:trPr>
        <w:tc>
          <w:tcPr>
            <w:tcW w:w="544" w:type="dxa"/>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一级</w:t>
            </w:r>
          </w:p>
        </w:tc>
        <w:tc>
          <w:tcPr>
            <w:tcW w:w="615" w:type="dxa"/>
            <w:tcBorders>
              <w:top w:val="single" w:color="000000" w:sz="8" w:space="0"/>
              <w:left w:val="nil"/>
              <w:bottom w:val="nil"/>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二级</w:t>
            </w:r>
          </w:p>
        </w:tc>
        <w:tc>
          <w:tcPr>
            <w:tcW w:w="1695" w:type="dxa"/>
            <w:tcBorders>
              <w:top w:val="single" w:color="000000" w:sz="8" w:space="0"/>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三级</w:t>
            </w:r>
          </w:p>
        </w:tc>
        <w:tc>
          <w:tcPr>
            <w:tcW w:w="3524" w:type="dxa"/>
            <w:vMerge w:val="restart"/>
            <w:tcBorders>
              <w:top w:val="single" w:color="000000" w:sz="8" w:space="0"/>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评价标准</w:t>
            </w:r>
          </w:p>
        </w:tc>
        <w:tc>
          <w:tcPr>
            <w:tcW w:w="480"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分值</w:t>
            </w:r>
          </w:p>
        </w:tc>
        <w:tc>
          <w:tcPr>
            <w:tcW w:w="420"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得分</w:t>
            </w:r>
          </w:p>
        </w:tc>
        <w:tc>
          <w:tcPr>
            <w:tcW w:w="750" w:type="dxa"/>
            <w:vMerge w:val="restart"/>
            <w:tcBorders>
              <w:top w:val="single" w:color="000000" w:sz="8" w:space="0"/>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288" w:hRule="atLeast"/>
        </w:trPr>
        <w:tc>
          <w:tcPr>
            <w:tcW w:w="544" w:type="dxa"/>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指标</w:t>
            </w:r>
          </w:p>
        </w:tc>
        <w:tc>
          <w:tcPr>
            <w:tcW w:w="615" w:type="dxa"/>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指标</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指标</w:t>
            </w:r>
          </w:p>
        </w:tc>
        <w:tc>
          <w:tcPr>
            <w:tcW w:w="3524" w:type="dxa"/>
            <w:vMerge w:val="continue"/>
            <w:tcBorders>
              <w:top w:val="single" w:color="000000" w:sz="8" w:space="0"/>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80"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single" w:color="000000" w:sz="8" w:space="0"/>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600" w:hRule="atLeast"/>
        </w:trPr>
        <w:tc>
          <w:tcPr>
            <w:tcW w:w="544" w:type="dxa"/>
            <w:vMerge w:val="restart"/>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投入(12分)</w:t>
            </w: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预算配置</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人员编制控制率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在职人员控制率≤100%，计4分，每超过一个百分点扣0.5分，扣完为止。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96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“三公”经费变动率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“三公”经费变动率≤0，计4分，“三公”经费变动率&gt;0，每超过5个百分点扣0.5分，扣完为止。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项目支出安排率</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项目支出安排≥90%计4分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80% (含)～90%计3分；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70% (含)～80%计2分；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 (含)～70%计I分；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14"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低于60%不得分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restart"/>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过程(37分)</w:t>
            </w: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预算执行</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预算调整率</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预算调整率≤5%计3分，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750" w:type="dxa"/>
            <w:vMerge w:val="restart"/>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预算调整数过大</w:t>
            </w: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每增加5%扣0.5分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4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公用经费控制率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与预算持平得3分，超预算5%扣1分，扣完为止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“三公”经费控制率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“三公”经费控制率≤100%计3分，每超5%扣1分，扣完为止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70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支付进度</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按标准要求支付计3分，每出现一个专项未按进度要求支付扣0.5分，扣完为止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预算管理</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管理制度健全性</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(1)已制定预算资金管理办法，内部财务管理制度计1分；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(2)相关管理制度合法、合规、完善1分；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(3)相关管理制度得到有效执行1分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资金使用合规性</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(1)支出符合国家财经法规和财务管理制度及有关专项资金管理办法；</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(2)资金拨付有完备的审批程序和手续；</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(3)项目支出按规定经过评估论证；</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2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(4)支出符合部门预算批复的用途；</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2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(5)资金使用无截留、挤占揶用、虚列支出等情况</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2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以上情况每出现一项不符合要求扣1分，扣完为止</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预算信息公开性和完善性</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(1)按规定内容公开预决算信息1分；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6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(2)按规定时限公开预决算信息0.5分；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(3)基础数据信息和会计信息真实0.5分；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40" w:hRule="atLeast"/>
        </w:trPr>
        <w:tc>
          <w:tcPr>
            <w:tcW w:w="544" w:type="dxa"/>
            <w:vMerge w:val="continue"/>
            <w:tcBorders>
              <w:top w:val="nil"/>
              <w:left w:val="single" w:color="000000" w:sz="8" w:space="0"/>
              <w:bottom w:val="single" w:color="auto" w:sz="4"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auto" w:sz="4"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(4)基础数据信息和会计信息完整0.5分；</w:t>
            </w:r>
          </w:p>
        </w:tc>
        <w:tc>
          <w:tcPr>
            <w:tcW w:w="480" w:type="dxa"/>
            <w:vMerge w:val="continue"/>
            <w:tcBorders>
              <w:top w:val="nil"/>
              <w:left w:val="nil"/>
              <w:bottom w:val="single" w:color="auto" w:sz="4"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auto" w:sz="4"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auto" w:sz="4"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60" w:hRule="atLeast"/>
        </w:trPr>
        <w:tc>
          <w:tcPr>
            <w:tcW w:w="544" w:type="dxa"/>
            <w:vMerge w:val="continue"/>
            <w:tcBorders>
              <w:top w:val="single" w:color="auto" w:sz="4"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single" w:color="auto" w:sz="4"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single" w:color="auto" w:sz="4" w:space="0"/>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single" w:color="auto" w:sz="4" w:space="0"/>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(5)基础数据信息和会计信息准确0.5分</w:t>
            </w:r>
          </w:p>
        </w:tc>
        <w:tc>
          <w:tcPr>
            <w:tcW w:w="480" w:type="dxa"/>
            <w:vMerge w:val="continue"/>
            <w:tcBorders>
              <w:top w:val="single" w:color="auto" w:sz="4" w:space="0"/>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single" w:color="auto" w:sz="4" w:space="0"/>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single" w:color="auto" w:sz="4" w:space="0"/>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公开招投标和政府采购执行率</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公开招投标和政府采购率等于100%，得4分，每减少一个百分点扣0.5分，扣完为止</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4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8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资产管理</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资产管理制度健全性</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(1)已制定资产管理制度，且相关制度合规、合法、完整2分；(2)相关资产管理制度得到有效执行1分</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资产管理安全性</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(1)资产保存完整；</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(2)资产配置合理；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(3)资产处置规范;</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(4)资产账务处理合规，账实相符;</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(5)资产有偿使用及处置收入及时足额上缴</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99"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以上情况每出现一项不符合要求扣1分，扣完为止</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0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固定资产利用率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每低于一个百分点扣0.1分，扣完为止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60" w:hRule="atLeast"/>
        </w:trPr>
        <w:tc>
          <w:tcPr>
            <w:tcW w:w="544" w:type="dxa"/>
            <w:vMerge w:val="restart"/>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产出（28分）</w:t>
            </w: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数量指标</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保持增强政治性，开展集中宣传，选树妇女典型</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大型宣传次数，受众人次，线上场次，先进典型人次少一项扣1分，扣完为止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0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推动全市实施免费婚检工作</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比上年增长10%计3分,每欠1%扣0.5分，扣完为止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4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各项工作全面完成</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100%完成计3分，每欠1%扣0.5分，扣完为止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72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质量指标</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注重项目建设，推动妇女儿童规划实施</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项目开展有计划，积极与外单位联合开展工作，调动社会力量。目标值≤100%，每降5%扣1分，扣完为止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深化巾帼创新创业活动</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达到目标值得满分，每欠5%扣1分，扣完为止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606"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注重精准扶贫，推动城镇“两癌”贫困妇女免费检查工作　</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100%合格计3分，反之扣3分</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时效指标</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各项工作进度符合目标要求</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各项工作符合目标要求且未出现重大差错和隐患得3分，反之扣3分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14"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成本指标</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成本控制率</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达到绩效目标得3分，偏差5%扣1分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auto" w:sz="4"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auto" w:sz="4"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auto" w:sz="4"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auto" w:sz="4"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auto" w:sz="4"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798" w:hRule="atLeast"/>
        </w:trPr>
        <w:tc>
          <w:tcPr>
            <w:tcW w:w="544" w:type="dxa"/>
            <w:vMerge w:val="restart"/>
            <w:tcBorders>
              <w:top w:val="single" w:color="auto" w:sz="4"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效果（23分）</w:t>
            </w:r>
          </w:p>
        </w:tc>
        <w:tc>
          <w:tcPr>
            <w:tcW w:w="615" w:type="dxa"/>
            <w:vMerge w:val="restart"/>
            <w:tcBorders>
              <w:top w:val="single" w:color="auto" w:sz="4"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社会效益</w:t>
            </w:r>
          </w:p>
        </w:tc>
        <w:tc>
          <w:tcPr>
            <w:tcW w:w="1695" w:type="dxa"/>
            <w:tcBorders>
              <w:top w:val="single" w:color="auto" w:sz="4" w:space="0"/>
              <w:left w:val="single" w:color="000000" w:sz="8" w:space="0"/>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关爱妇女儿童，开展公益慰问捐赠活动</w:t>
            </w:r>
          </w:p>
        </w:tc>
        <w:tc>
          <w:tcPr>
            <w:tcW w:w="3524" w:type="dxa"/>
            <w:tcBorders>
              <w:top w:val="single" w:color="auto" w:sz="4" w:space="0"/>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达到目标值得满分，每欠5%扣1分，扣完为止</w:t>
            </w:r>
          </w:p>
        </w:tc>
        <w:tc>
          <w:tcPr>
            <w:tcW w:w="48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开展家庭教育活动，促进儿童健康发展</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达到绩效目标得3分，偏差5%扣1分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1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生态效益</w:t>
            </w:r>
          </w:p>
        </w:tc>
        <w:tc>
          <w:tcPr>
            <w:tcW w:w="1695" w:type="dxa"/>
            <w:vMerge w:val="restart"/>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积极开展双创双修工作　</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达到绩效目标得3分，偏差5%扣2分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60" w:hRule="atLeast"/>
        </w:trPr>
        <w:tc>
          <w:tcPr>
            <w:tcW w:w="544" w:type="dxa"/>
            <w:vMerge w:val="continue"/>
            <w:tcBorders>
              <w:top w:val="nil"/>
              <w:left w:val="single" w:color="000000" w:sz="8" w:space="0"/>
              <w:bottom w:val="single" w:color="auto" w:sz="4"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auto" w:sz="4"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auto" w:sz="4"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auto" w:sz="4"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auto" w:sz="4"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800" w:hRule="atLeast"/>
        </w:trPr>
        <w:tc>
          <w:tcPr>
            <w:tcW w:w="544" w:type="dxa"/>
            <w:vMerge w:val="continue"/>
            <w:tcBorders>
              <w:top w:val="single" w:color="auto" w:sz="4"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single" w:color="auto" w:sz="4" w:space="0"/>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tcBorders>
              <w:top w:val="single" w:color="auto" w:sz="4" w:space="0"/>
              <w:left w:val="single" w:color="000000" w:sz="8" w:space="0"/>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改善办公环境</w:t>
            </w:r>
          </w:p>
        </w:tc>
        <w:tc>
          <w:tcPr>
            <w:tcW w:w="3524" w:type="dxa"/>
            <w:tcBorders>
              <w:top w:val="single" w:color="auto" w:sz="4" w:space="0"/>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相关人员满意率90%以上得满分，80%-90%得1分，80%以下不得分</w:t>
            </w:r>
          </w:p>
        </w:tc>
        <w:tc>
          <w:tcPr>
            <w:tcW w:w="48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42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79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可持续影响指标</w:t>
            </w:r>
          </w:p>
        </w:tc>
        <w:tc>
          <w:tcPr>
            <w:tcW w:w="1695" w:type="dxa"/>
            <w:tcBorders>
              <w:top w:val="nil"/>
              <w:left w:val="nil"/>
              <w:bottom w:val="nil"/>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认真履行职责，聚力两纲实施，维护妇女儿童合法权益</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达到预期值得满分，每欠5%扣1分，扣完为止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夯实妇联基础工作，加强妇联自身建设</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100%达标得满分，每欠5%扣1分，扣完为止</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1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满意度指标</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服务对象满意度</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满意率≥90%得满分，每欠5%扣1分，扣完为止</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1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restar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合计</w:t>
            </w: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vMerge w:val="restart"/>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91</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60" w:hRule="atLeast"/>
        </w:trPr>
        <w:tc>
          <w:tcPr>
            <w:tcW w:w="8028" w:type="dxa"/>
            <w:gridSpan w:val="7"/>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评价等级：优≥90分、80分≤良≤90分、60分≤中≤80分、差≤60分</w:t>
            </w:r>
          </w:p>
        </w:tc>
      </w:tr>
    </w:tbl>
    <w:p>
      <w:pPr>
        <w:rPr>
          <w:rFonts w:hint="eastAsia" w:eastAsia="宋体"/>
          <w:lang w:eastAsia="zh-CN"/>
        </w:rPr>
      </w:pPr>
      <w:r>
        <w:rPr>
          <w:rFonts w:hint="eastAsia" w:ascii="仿宋" w:hAnsi="仿宋" w:eastAsia="仿宋" w:cs="仿宋_GB2312"/>
          <w:kern w:val="0"/>
          <w:sz w:val="30"/>
          <w:szCs w:val="30"/>
          <w:lang w:val="en-US" w:eastAsia="zh-CN"/>
        </w:rPr>
        <w:t>9</w:t>
      </w: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keepNext w:val="0"/>
        <w:keepLines w:val="0"/>
        <w:widowControl/>
        <w:suppressLineNumbers w:val="0"/>
        <w:jc w:val="left"/>
      </w:pPr>
      <w:r>
        <w:rPr>
          <w:rFonts w:ascii="仿宋" w:hAnsi="仿宋" w:eastAsia="仿宋" w:cs="仿宋"/>
          <w:color w:val="000000"/>
          <w:kern w:val="0"/>
          <w:sz w:val="30"/>
          <w:szCs w:val="30"/>
          <w:lang w:val="en-US" w:eastAsia="zh-CN" w:bidi="ar"/>
        </w:rPr>
        <w:t xml:space="preserve">一、收入科目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（一）财政拨款：指省级财政当年拨付的资金。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（二）事业收入：指事业单位开展专业业务活动及辅助活动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取得的收入。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（三）事业单位经营收入：指事业单位在专业业务活动及辅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助活动之外开展非独立核算经营活动取得的收入。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（四）其他收入：指除财政拨款、事业收入、事业单位经营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收入等以外的各项收入。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（五）上年结转和结余：填列全部结转和结余的资金数，包括当 年结转结余资金和历年滚存结转结余资金。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二、支出科目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一般公共服务（类）群众团体事务（款）行政运行（项）：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指省妇联及直属事业单位，用于保障机构正常运行、开展日常工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作的基本支出。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一般公共服务（类）群众团体事务（款）一般行政管理事务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（项）：指省妇联及直属事业单位，未单独设置项级科目的其它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支出项目。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一般公共服务（类）群众团体事务（款）其他群众团体事务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支出（项）：指省妇联及直属事业单位，其它用于群众团体事务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方面的支出。</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医疗卫生与计划生育支出（类）医疗保障（款）行政单位医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疗（项）：指省妇联机关本级基本医疗保险缴费经费，未参加医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疗保险的行政单位的公费医疗经费，按国家规定享受离休人员、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红军老战士待遇人员的医疗经费。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医疗卫生与计划生育支出（类）医疗保障（款）事业单位医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疗（项）：指省妇联直属单位基本医疗保险缴费经费，未参加医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疗保险的事业单位的公费医疗经费，按国家规定享受离休人员待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遇人员的医疗经费。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住房保障支出（类）住房改革支出（款）购房补贴（项）：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指省妇联及直属事业单位人员按房改房政策规定，行政事业单位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向符合条件的职工（含离退休人员）、军队（含武警）向转役复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员离退休人员发放的用于购买住房的补贴。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其它支出（类）其他支出（款）其他支出（项）：指省妇联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及直属事业单位其他不能划分到具体功能科目中的支出项目。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“三公”经费支出为因公出国（境）支出、公务接待费支出、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公务用车运行维护费支出。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机关运行费指各部门的公用经费，包括办公及印刷费、邮电费、差旅费、会议费、福利费、日常维修费、专用材料及一般设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备购置费、办公用房水电费、办公用房取暖费、办公用房物业管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仿宋" w:hAnsi="仿宋" w:eastAsia="仿宋" w:cs="仿宋"/>
          <w:sz w:val="30"/>
          <w:szCs w:val="30"/>
          <w:u w:val="none"/>
        </w:rPr>
      </w:pPr>
    </w:p>
    <w:p>
      <w:pPr>
        <w:ind w:firstLine="630"/>
        <w:jc w:val="left"/>
        <w:rPr>
          <w:rFonts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18CB9"/>
    <w:multiLevelType w:val="singleLevel"/>
    <w:tmpl w:val="7B018C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34A0D"/>
    <w:rsid w:val="0F4A7D33"/>
    <w:rsid w:val="188A683A"/>
    <w:rsid w:val="255A5A8F"/>
    <w:rsid w:val="28F14F78"/>
    <w:rsid w:val="348A3903"/>
    <w:rsid w:val="352A495A"/>
    <w:rsid w:val="357560C4"/>
    <w:rsid w:val="49C113FF"/>
    <w:rsid w:val="51C54EAD"/>
    <w:rsid w:val="5F4F05AB"/>
    <w:rsid w:val="62997F0A"/>
    <w:rsid w:val="63703848"/>
    <w:rsid w:val="67915393"/>
    <w:rsid w:val="7452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pPr>
    <w:rPr>
      <w:kern w:val="0"/>
      <w:szCs w:val="21"/>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DELL</cp:lastModifiedBy>
  <dcterms:modified xsi:type="dcterms:W3CDTF">2020-10-09T02:20:32Z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