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Times New Roman" w:eastAsia="黑体" w:cs="Times New Roman"/>
          <w:sz w:val="44"/>
          <w:szCs w:val="36"/>
          <w:lang w:val="en-US" w:eastAsia="zh-CN"/>
        </w:rPr>
      </w:pPr>
      <w:r>
        <w:rPr>
          <w:rFonts w:hint="eastAsia" w:ascii="黑体" w:hAnsi="Times New Roman" w:eastAsia="黑体" w:cs="Times New Roman"/>
          <w:sz w:val="44"/>
          <w:szCs w:val="36"/>
          <w:lang w:val="en-US" w:eastAsia="zh-CN"/>
        </w:rPr>
        <w:t>中国国民党革命委员会景德镇市委员会</w:t>
      </w:r>
    </w:p>
    <w:p>
      <w:pPr>
        <w:spacing w:line="600" w:lineRule="exact"/>
        <w:jc w:val="center"/>
        <w:rPr>
          <w:rFonts w:hint="eastAsia" w:ascii="黑体" w:eastAsia="黑体"/>
          <w:sz w:val="44"/>
          <w:szCs w:val="36"/>
        </w:rPr>
      </w:pPr>
      <w:bookmarkStart w:id="2" w:name="_GoBack"/>
      <w:bookmarkEnd w:id="2"/>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cs="Times New Roman"/>
          <w:sz w:val="32"/>
          <w:szCs w:val="32"/>
          <w:lang w:val="en-US" w:eastAsia="zh-CN"/>
        </w:rPr>
        <w:t>中国国民党革命委员会景德镇市委员会</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cs="Times New Roman"/>
          <w:b/>
          <w:sz w:val="32"/>
          <w:szCs w:val="32"/>
          <w:lang w:val="en-US" w:eastAsia="zh-CN"/>
        </w:rPr>
        <w:t>中国国民党革命委员会景德镇市委员会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lang w:val="en-US" w:eastAsia="zh-CN"/>
        </w:rPr>
      </w:pPr>
      <w:r>
        <w:rPr>
          <w:rFonts w:hint="eastAsia" w:ascii="仿宋" w:hAnsi="仿宋" w:eastAsia="仿宋"/>
          <w:sz w:val="30"/>
          <w:szCs w:val="30"/>
          <w:lang w:eastAsia="zh-CN"/>
        </w:rPr>
        <w:t>具有政治联盟性质的、致力于建设中国特色社会主义和祖国统一事业的政党，是中国共产党领导的多党合作和政治协商制度中的参政党。</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Times New Roman"/>
          <w:sz w:val="30"/>
          <w:szCs w:val="30"/>
          <w:lang w:val="en-US" w:eastAsia="zh-CN"/>
        </w:rPr>
        <w:t>中国国民党革命委员会景德镇市委员会本级。</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drawing>
          <wp:inline distT="0" distB="0" distL="114300" distR="114300">
            <wp:extent cx="5268595" cy="48444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844415"/>
                    </a:xfrm>
                    <a:prstGeom prst="rect">
                      <a:avLst/>
                    </a:prstGeom>
                    <a:noFill/>
                    <a:ln>
                      <a:noFill/>
                    </a:ln>
                  </pic:spPr>
                </pic:pic>
              </a:graphicData>
            </a:graphic>
          </wp:inline>
        </w:drawing>
      </w:r>
    </w:p>
    <w:p>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7325" cy="2515235"/>
            <wp:effectExtent l="0" t="0" r="952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325" cy="2515235"/>
                    </a:xfrm>
                    <a:prstGeom prst="rect">
                      <a:avLst/>
                    </a:prstGeom>
                    <a:noFill/>
                    <a:ln>
                      <a:noFill/>
                    </a:ln>
                  </pic:spPr>
                </pic:pic>
              </a:graphicData>
            </a:graphic>
          </wp:inline>
        </w:drawing>
      </w:r>
      <w:r>
        <w:drawing>
          <wp:inline distT="0" distB="0" distL="114300" distR="114300">
            <wp:extent cx="5265420" cy="2590165"/>
            <wp:effectExtent l="0" t="0" r="1143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590165"/>
                    </a:xfrm>
                    <a:prstGeom prst="rect">
                      <a:avLst/>
                    </a:prstGeom>
                    <a:noFill/>
                    <a:ln>
                      <a:noFill/>
                    </a:ln>
                  </pic:spPr>
                </pic:pic>
              </a:graphicData>
            </a:graphic>
          </wp:inline>
        </w:drawing>
      </w:r>
      <w:r>
        <w:drawing>
          <wp:inline distT="0" distB="0" distL="114300" distR="114300">
            <wp:extent cx="5265420" cy="4208145"/>
            <wp:effectExtent l="0" t="0" r="1143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5420" cy="4208145"/>
                    </a:xfrm>
                    <a:prstGeom prst="rect">
                      <a:avLst/>
                    </a:prstGeom>
                    <a:noFill/>
                    <a:ln>
                      <a:noFill/>
                    </a:ln>
                  </pic:spPr>
                </pic:pic>
              </a:graphicData>
            </a:graphic>
          </wp:inline>
        </w:drawing>
      </w:r>
      <w:r>
        <w:drawing>
          <wp:inline distT="0" distB="0" distL="114300" distR="114300">
            <wp:extent cx="5274310" cy="3830955"/>
            <wp:effectExtent l="0" t="0" r="254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4310" cy="383095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1877(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9230" cy="4779010"/>
            <wp:effectExtent l="0" t="0" r="7620" b="2540"/>
            <wp:docPr id="7" name="图片 7" descr="1602591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91897(1)"/>
                    <pic:cNvPicPr>
                      <a:picLocks noChangeAspect="1"/>
                    </pic:cNvPicPr>
                  </pic:nvPicPr>
                  <pic:blipFill>
                    <a:blip r:embed="rId10"/>
                    <a:stretch>
                      <a:fillRect/>
                    </a:stretch>
                  </pic:blipFill>
                  <pic:spPr>
                    <a:xfrm>
                      <a:off x="0" y="0"/>
                      <a:ext cx="5269230" cy="47790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268595" cy="1692910"/>
            <wp:effectExtent l="0" t="0" r="8255" b="2540"/>
            <wp:docPr id="8" name="图片 8" descr="1602591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591918(1)"/>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宋体" w:hAnsi="宋体" w:eastAsia="宋体"/>
          <w:b/>
          <w:sz w:val="32"/>
          <w:szCs w:val="32"/>
          <w:lang w:eastAsia="zh-CN"/>
        </w:rPr>
        <w:drawing>
          <wp:inline distT="0" distB="0" distL="114300" distR="114300">
            <wp:extent cx="5105400" cy="2962275"/>
            <wp:effectExtent l="0" t="0" r="0" b="9525"/>
            <wp:docPr id="9" name="图片 9" descr="16025919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2591936(1)"/>
                    <pic:cNvPicPr>
                      <a:picLocks noChangeAspect="1"/>
                    </pic:cNvPicPr>
                  </pic:nvPicPr>
                  <pic:blipFill>
                    <a:blip r:embed="rId12"/>
                    <a:stretch>
                      <a:fillRect/>
                    </a:stretch>
                  </pic:blipFill>
                  <pic:spPr>
                    <a:xfrm>
                      <a:off x="0" y="0"/>
                      <a:ext cx="5105400" cy="296227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144.43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41.6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9.59</w:t>
      </w:r>
      <w:r>
        <w:rPr>
          <w:rFonts w:hint="eastAsia" w:ascii="仿宋" w:hAnsi="仿宋" w:eastAsia="仿宋"/>
          <w:sz w:val="30"/>
          <w:szCs w:val="30"/>
        </w:rPr>
        <w:t>万元，增长</w:t>
      </w:r>
      <w:r>
        <w:rPr>
          <w:rFonts w:hint="eastAsia" w:ascii="仿宋" w:hAnsi="仿宋" w:eastAsia="仿宋"/>
          <w:sz w:val="30"/>
          <w:szCs w:val="30"/>
          <w:lang w:val="en-US" w:eastAsia="zh-CN"/>
        </w:rPr>
        <w:t>23.05</w:t>
      </w:r>
      <w:r>
        <w:rPr>
          <w:rFonts w:hint="eastAsia" w:ascii="仿宋" w:hAnsi="仿宋" w:eastAsia="仿宋"/>
          <w:sz w:val="30"/>
          <w:szCs w:val="30"/>
        </w:rPr>
        <w:t>%；本年收入合计</w:t>
      </w:r>
      <w:r>
        <w:rPr>
          <w:rFonts w:hint="eastAsia" w:ascii="仿宋" w:hAnsi="仿宋" w:eastAsia="仿宋"/>
          <w:sz w:val="30"/>
          <w:szCs w:val="30"/>
          <w:lang w:val="en-US" w:eastAsia="zh-CN"/>
        </w:rPr>
        <w:t>102.83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32.22</w:t>
      </w:r>
      <w:r>
        <w:rPr>
          <w:rFonts w:hint="eastAsia" w:ascii="仿宋" w:hAnsi="仿宋" w:eastAsia="仿宋"/>
          <w:sz w:val="30"/>
          <w:szCs w:val="30"/>
        </w:rPr>
        <w:t>万元，增长</w:t>
      </w:r>
      <w:r>
        <w:rPr>
          <w:rFonts w:hint="eastAsia" w:ascii="仿宋" w:hAnsi="仿宋" w:eastAsia="仿宋"/>
          <w:sz w:val="30"/>
          <w:szCs w:val="30"/>
          <w:lang w:val="en-US" w:eastAsia="zh-CN"/>
        </w:rPr>
        <w:t>31.33</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99.83</w:t>
      </w:r>
      <w:r>
        <w:rPr>
          <w:rFonts w:hint="eastAsia" w:ascii="仿宋" w:hAnsi="仿宋" w:eastAsia="仿宋"/>
          <w:sz w:val="30"/>
          <w:szCs w:val="30"/>
        </w:rPr>
        <w:t>万元，占</w:t>
      </w:r>
      <w:r>
        <w:rPr>
          <w:rFonts w:hint="eastAsia" w:ascii="仿宋" w:hAnsi="仿宋" w:eastAsia="仿宋"/>
          <w:sz w:val="30"/>
          <w:szCs w:val="30"/>
          <w:lang w:val="en-US" w:eastAsia="zh-CN"/>
        </w:rPr>
        <w:t>97.08</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3</w:t>
      </w:r>
      <w:r>
        <w:rPr>
          <w:rFonts w:hint="eastAsia" w:ascii="仿宋" w:hAnsi="仿宋" w:eastAsia="仿宋"/>
          <w:sz w:val="30"/>
          <w:szCs w:val="30"/>
        </w:rPr>
        <w:t>万元，占</w:t>
      </w:r>
      <w:r>
        <w:rPr>
          <w:rFonts w:hint="eastAsia" w:ascii="仿宋" w:hAnsi="仿宋" w:eastAsia="仿宋"/>
          <w:sz w:val="30"/>
          <w:szCs w:val="30"/>
          <w:lang w:val="en-US" w:eastAsia="zh-CN"/>
        </w:rPr>
        <w:t>2.92</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144.43</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92.65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24.63</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26.58</w:t>
      </w:r>
      <w:r>
        <w:rPr>
          <w:rFonts w:hint="eastAsia" w:ascii="仿宋" w:hAnsi="仿宋" w:eastAsia="仿宋"/>
          <w:sz w:val="30"/>
          <w:szCs w:val="30"/>
        </w:rPr>
        <w:t xml:space="preserve"> %，主要原因是：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51.78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10.18</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30.28</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92.65</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62.3</w:t>
      </w:r>
      <w:r>
        <w:rPr>
          <w:rFonts w:hint="eastAsia" w:ascii="仿宋" w:hAnsi="仿宋" w:eastAsia="仿宋"/>
          <w:sz w:val="30"/>
          <w:szCs w:val="30"/>
        </w:rPr>
        <w:t>万元，决算数为</w:t>
      </w:r>
      <w:r>
        <w:rPr>
          <w:rFonts w:hint="eastAsia" w:ascii="仿宋" w:hAnsi="仿宋" w:eastAsia="仿宋"/>
          <w:sz w:val="30"/>
          <w:szCs w:val="30"/>
          <w:lang w:val="en-US" w:eastAsia="zh-CN"/>
        </w:rPr>
        <w:t>92.65</w:t>
      </w:r>
      <w:r>
        <w:rPr>
          <w:rFonts w:hint="eastAsia" w:ascii="仿宋" w:hAnsi="仿宋" w:eastAsia="仿宋"/>
          <w:sz w:val="30"/>
          <w:szCs w:val="30"/>
        </w:rPr>
        <w:t>万元，完成年初预算的</w:t>
      </w:r>
      <w:r>
        <w:rPr>
          <w:rFonts w:hint="eastAsia" w:ascii="仿宋" w:hAnsi="仿宋" w:eastAsia="仿宋"/>
          <w:sz w:val="30"/>
          <w:szCs w:val="30"/>
          <w:lang w:val="en-US" w:eastAsia="zh-CN"/>
        </w:rPr>
        <w:t>148.71</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51.32</w:t>
      </w:r>
      <w:r>
        <w:rPr>
          <w:rFonts w:hint="eastAsia" w:ascii="仿宋" w:hAnsi="仿宋" w:eastAsia="仿宋"/>
          <w:sz w:val="30"/>
          <w:szCs w:val="30"/>
        </w:rPr>
        <w:t>万元，决算数为</w:t>
      </w:r>
      <w:r>
        <w:rPr>
          <w:rFonts w:hint="eastAsia" w:ascii="仿宋" w:hAnsi="仿宋" w:eastAsia="仿宋"/>
          <w:sz w:val="30"/>
          <w:szCs w:val="30"/>
          <w:lang w:val="en-US" w:eastAsia="zh-CN"/>
        </w:rPr>
        <w:t>82.44</w:t>
      </w:r>
      <w:r>
        <w:rPr>
          <w:rFonts w:hint="eastAsia" w:ascii="仿宋" w:hAnsi="仿宋" w:eastAsia="仿宋"/>
          <w:sz w:val="30"/>
          <w:szCs w:val="30"/>
        </w:rPr>
        <w:t>万元，完成年初预算的</w:t>
      </w:r>
      <w:r>
        <w:rPr>
          <w:rFonts w:hint="eastAsia" w:ascii="仿宋" w:hAnsi="仿宋" w:eastAsia="仿宋"/>
          <w:sz w:val="30"/>
          <w:szCs w:val="30"/>
          <w:lang w:val="en-US" w:eastAsia="zh-CN"/>
        </w:rPr>
        <w:t>160.63</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3.86</w:t>
      </w:r>
      <w:r>
        <w:rPr>
          <w:rFonts w:hint="eastAsia" w:ascii="仿宋" w:hAnsi="仿宋" w:eastAsia="仿宋"/>
          <w:sz w:val="30"/>
          <w:szCs w:val="30"/>
        </w:rPr>
        <w:t>万元，决算数为</w:t>
      </w:r>
      <w:r>
        <w:rPr>
          <w:rFonts w:hint="eastAsia" w:ascii="仿宋" w:hAnsi="仿宋" w:eastAsia="仿宋"/>
          <w:sz w:val="30"/>
          <w:szCs w:val="30"/>
          <w:lang w:val="en-US" w:eastAsia="zh-CN"/>
        </w:rPr>
        <w:t>4.63</w:t>
      </w:r>
      <w:r>
        <w:rPr>
          <w:rFonts w:hint="eastAsia" w:ascii="仿宋" w:hAnsi="仿宋" w:eastAsia="仿宋"/>
          <w:sz w:val="30"/>
          <w:szCs w:val="30"/>
        </w:rPr>
        <w:t>万元，完成年初预算的</w:t>
      </w:r>
      <w:r>
        <w:rPr>
          <w:rFonts w:hint="eastAsia" w:ascii="仿宋" w:hAnsi="仿宋" w:eastAsia="仿宋"/>
          <w:sz w:val="30"/>
          <w:szCs w:val="30"/>
          <w:lang w:val="en-US" w:eastAsia="zh-CN"/>
        </w:rPr>
        <w:t>119.94</w:t>
      </w:r>
      <w:r>
        <w:rPr>
          <w:rFonts w:hint="eastAsia" w:ascii="仿宋" w:hAnsi="仿宋" w:eastAsia="仿宋"/>
          <w:sz w:val="30"/>
          <w:szCs w:val="30"/>
        </w:rPr>
        <w:t>%，主要原因是：</w:t>
      </w:r>
      <w:r>
        <w:rPr>
          <w:rFonts w:hint="eastAsia" w:ascii="仿宋" w:hAnsi="仿宋" w:eastAsia="仿宋"/>
          <w:sz w:val="30"/>
          <w:szCs w:val="30"/>
          <w:lang w:eastAsia="zh-CN"/>
        </w:rPr>
        <w:t>社会保障支出增加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4.91</w:t>
      </w:r>
      <w:r>
        <w:rPr>
          <w:rFonts w:hint="eastAsia" w:ascii="仿宋" w:hAnsi="仿宋" w:eastAsia="仿宋"/>
          <w:sz w:val="30"/>
          <w:szCs w:val="30"/>
        </w:rPr>
        <w:t>万元，决算数为</w:t>
      </w:r>
      <w:r>
        <w:rPr>
          <w:rFonts w:hint="eastAsia" w:ascii="仿宋" w:hAnsi="仿宋" w:eastAsia="仿宋"/>
          <w:sz w:val="30"/>
          <w:szCs w:val="30"/>
          <w:lang w:val="en-US" w:eastAsia="zh-CN"/>
        </w:rPr>
        <w:t>4.91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2.21</w:t>
      </w:r>
      <w:r>
        <w:rPr>
          <w:rFonts w:hint="eastAsia" w:ascii="仿宋" w:hAnsi="仿宋" w:eastAsia="仿宋"/>
          <w:sz w:val="30"/>
          <w:szCs w:val="30"/>
        </w:rPr>
        <w:t>万元，决算数为</w:t>
      </w:r>
      <w:r>
        <w:rPr>
          <w:rFonts w:hint="eastAsia" w:ascii="仿宋" w:hAnsi="仿宋" w:eastAsia="仿宋"/>
          <w:sz w:val="30"/>
          <w:szCs w:val="30"/>
          <w:lang w:val="en-US" w:eastAsia="zh-CN"/>
        </w:rPr>
        <w:t>2.21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92.65</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50.1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7.28</w:t>
      </w:r>
      <w:r>
        <w:rPr>
          <w:rFonts w:hint="eastAsia" w:ascii="仿宋" w:hAnsi="仿宋" w:eastAsia="仿宋"/>
          <w:sz w:val="30"/>
          <w:szCs w:val="30"/>
        </w:rPr>
        <w:t>万元，增长</w:t>
      </w:r>
      <w:r>
        <w:rPr>
          <w:rFonts w:hint="eastAsia" w:ascii="仿宋" w:hAnsi="仿宋" w:eastAsia="仿宋"/>
          <w:sz w:val="30"/>
          <w:szCs w:val="30"/>
          <w:lang w:val="en-US" w:eastAsia="zh-CN"/>
        </w:rPr>
        <w:t>14.53</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38.63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21.05</w:t>
      </w:r>
      <w:r>
        <w:rPr>
          <w:rFonts w:hint="eastAsia" w:ascii="仿宋" w:hAnsi="仿宋" w:eastAsia="仿宋"/>
          <w:sz w:val="30"/>
          <w:szCs w:val="30"/>
        </w:rPr>
        <w:t>万元，增长</w:t>
      </w:r>
      <w:r>
        <w:rPr>
          <w:rFonts w:hint="eastAsia" w:ascii="仿宋" w:hAnsi="仿宋" w:eastAsia="仿宋"/>
          <w:sz w:val="30"/>
          <w:szCs w:val="30"/>
          <w:lang w:val="en-US" w:eastAsia="zh-CN"/>
        </w:rPr>
        <w:t>54.49</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2.65</w:t>
      </w:r>
      <w:r>
        <w:rPr>
          <w:rFonts w:hint="eastAsia" w:ascii="仿宋" w:hAnsi="仿宋" w:eastAsia="仿宋"/>
          <w:sz w:val="30"/>
          <w:szCs w:val="30"/>
        </w:rPr>
        <w:t>万元，增长</w:t>
      </w:r>
      <w:r>
        <w:rPr>
          <w:rFonts w:hint="eastAsia" w:ascii="仿宋" w:hAnsi="仿宋" w:eastAsia="仿宋"/>
          <w:sz w:val="30"/>
          <w:szCs w:val="30"/>
          <w:lang w:val="en-US" w:eastAsia="zh-CN"/>
        </w:rPr>
        <w:t>98.14</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1.23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0.65</w:t>
      </w:r>
      <w:r>
        <w:rPr>
          <w:rFonts w:hint="eastAsia" w:ascii="仿宋" w:hAnsi="仿宋" w:eastAsia="仿宋"/>
          <w:sz w:val="30"/>
          <w:szCs w:val="30"/>
        </w:rPr>
        <w:t>万元，增长</w:t>
      </w:r>
      <w:r>
        <w:rPr>
          <w:rFonts w:hint="eastAsia" w:ascii="仿宋" w:hAnsi="仿宋" w:eastAsia="仿宋"/>
          <w:sz w:val="30"/>
          <w:szCs w:val="30"/>
          <w:lang w:val="en-US" w:eastAsia="zh-CN"/>
        </w:rPr>
        <w:t>52.84</w:t>
      </w:r>
      <w:r>
        <w:rPr>
          <w:rFonts w:hint="eastAsia" w:ascii="仿宋" w:hAnsi="仿宋" w:eastAsia="仿宋"/>
          <w:sz w:val="30"/>
          <w:szCs w:val="30"/>
        </w:rPr>
        <w:t>%，主要原因是：</w:t>
      </w:r>
      <w:r>
        <w:rPr>
          <w:rFonts w:hint="eastAsia" w:ascii="仿宋" w:hAnsi="仿宋" w:eastAsia="仿宋"/>
          <w:sz w:val="30"/>
          <w:szCs w:val="30"/>
          <w:lang w:eastAsia="zh-CN"/>
        </w:rPr>
        <w:t>新购办公设备</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5.7</w:t>
      </w:r>
      <w:r>
        <w:rPr>
          <w:rFonts w:hint="eastAsia" w:ascii="仿宋" w:hAnsi="仿宋" w:eastAsia="仿宋"/>
          <w:sz w:val="30"/>
          <w:szCs w:val="30"/>
        </w:rPr>
        <w:t>万元，决算数为</w:t>
      </w:r>
      <w:r>
        <w:rPr>
          <w:rFonts w:hint="eastAsia" w:ascii="仿宋" w:hAnsi="仿宋" w:eastAsia="仿宋"/>
          <w:sz w:val="30"/>
          <w:szCs w:val="30"/>
          <w:lang w:val="en-US" w:eastAsia="zh-CN"/>
        </w:rPr>
        <w:t>0.6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0.15</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5.7</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10.52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0.15</w:t>
      </w:r>
      <w:r>
        <w:rPr>
          <w:rFonts w:hint="eastAsia" w:ascii="仿宋" w:hAnsi="仿宋" w:eastAsia="仿宋"/>
          <w:sz w:val="30"/>
          <w:szCs w:val="30"/>
        </w:rPr>
        <w:t>万元，下降</w:t>
      </w:r>
      <w:r>
        <w:rPr>
          <w:rFonts w:hint="eastAsia" w:ascii="仿宋" w:hAnsi="仿宋" w:eastAsia="仿宋"/>
          <w:sz w:val="30"/>
          <w:szCs w:val="30"/>
          <w:lang w:val="en-US" w:eastAsia="zh-CN"/>
        </w:rPr>
        <w:t>25</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接待单位人数减少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39.85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17.58</w:t>
      </w:r>
      <w:r>
        <w:rPr>
          <w:rFonts w:hint="eastAsia" w:ascii="仿宋" w:hAnsi="仿宋" w:eastAsia="仿宋"/>
          <w:sz w:val="30"/>
          <w:szCs w:val="30"/>
        </w:rPr>
        <w:t>万元，增长</w:t>
      </w:r>
      <w:r>
        <w:rPr>
          <w:rFonts w:hint="eastAsia" w:ascii="仿宋" w:hAnsi="仿宋" w:eastAsia="仿宋"/>
          <w:sz w:val="30"/>
          <w:szCs w:val="30"/>
          <w:lang w:val="en-US" w:eastAsia="zh-CN"/>
        </w:rPr>
        <w:t>44.11</w:t>
      </w:r>
      <w:r>
        <w:rPr>
          <w:rFonts w:hint="eastAsia" w:ascii="仿宋" w:hAnsi="仿宋" w:eastAsia="仿宋"/>
          <w:sz w:val="30"/>
          <w:szCs w:val="30"/>
        </w:rPr>
        <w:t>%，主要原因是：</w:t>
      </w:r>
      <w:r>
        <w:rPr>
          <w:rFonts w:hint="eastAsia" w:ascii="仿宋" w:hAnsi="仿宋" w:eastAsia="仿宋"/>
          <w:sz w:val="30"/>
          <w:szCs w:val="30"/>
          <w:lang w:eastAsia="zh-CN"/>
        </w:rPr>
        <w:t>业务活动开展增加，行政成本增加</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1.23</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1.23</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ind w:firstLine="630"/>
        <w:jc w:val="left"/>
        <w:rPr>
          <w:rFonts w:hint="eastAsia" w:ascii="仿宋" w:hAnsi="仿宋" w:eastAsia="仿宋" w:cs="Times New Roman"/>
          <w:sz w:val="30"/>
          <w:szCs w:val="30"/>
          <w:lang w:val="en-US" w:eastAsia="zh-CN"/>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Times New Roman"/>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2、强化课题的调研，提高调研工作的质量，提升提案议案的影响力。</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3、实施预算进度跟踪，合理支出预算资金，做到目标管理与执行进度跟踪统一，项目产出与效益管理的统一。</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4、加强机关效能建设，注重教育培训工作，提高干部的管理素质。</w:t>
      </w:r>
    </w:p>
    <w:p>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5、注重基层组织建设，建立完善激励制度，发挥基层组织的作用。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600" w:firstLineChars="200"/>
        <w:jc w:val="both"/>
        <w:textAlignment w:val="auto"/>
        <w:outlineLvl w:val="9"/>
        <w:rPr>
          <w:rFonts w:hint="eastAsia" w:ascii="仿宋" w:hAnsi="仿宋" w:eastAsia="仿宋" w:cs="仿宋_GB2312"/>
          <w:kern w:val="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(一）优秀经验及做法</w:t>
      </w:r>
      <w:bookmarkStart w:id="0" w:name="_Toc27453_WPSOffice_Level2"/>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2019年，一批民革党员获得全国及省、市级表彰，刘文斌同志入选国家百千万人才工程，并被授予“有突出贡献中青年专家”荣誉称号；蔡文娟同志被授予“江西省巾帼建功标兵”荣誉称号；蔡文娟、陈菊荣、田田等三名同志被评为“景德镇市劳动模范”。</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一、围绕经济社会发展大局，不断增强履职实效。</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围绕“景德镇国家陶瓷文化传承创新试验区”建设主动作为，承接民革江西省委会《借力“国际陶瓷博览会” 开启景德镇对话世界新篇章》课题，提出做好战略层面引领、做好操作层面协调、加强优势产业联动发展等12条建议，该报告入选省政协书面大会发言材料。其中《关于提升景德镇“国际陶瓷博览会”的建议》被省政协列为重点督办提案，主笔江志瑜同志荣获2019年度为民革省委会参政议政工作先进个人。</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积极参与中共景德镇市委、市委统战部召开的专题协商座谈会、人事协商座谈会、调研协商座谈会、情况通报会等10余次，围绕脱贫攻坚民主监督、全省经济工作、法院和检察院工作、发展改革工作等提出意见建议。参加景德镇市党外人士座谈会和市政府工作报告协商会，都提出有价值的建议。在市政协十三届四次会议上，大会口头发言《打造特色背街小巷 塑造国际瓷都新形象》得到钟书记重要批示并被列为市政协列为重点督办提案。</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贴近基层、深入一线，撰写社情民意信息，促进了一批热点难点问题的有效解决。全年共向市政协报送社情民意信息12条，向省民革报送社情民意信息4条，其中1条被省政协采用。抗击新冠肺炎疫情期间，广大党员积极建言献策，《关于超市预防新型冠状病毒传播的建议》等社情民意信息被民革省委会采纳。</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二、扎实推进脱贫攻坚民主监督，提升社会服务能力。</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突出重点开展脱贫攻坚民主监督，市委会多次赴乐平市洪岩镇、高家镇、临港镇开展脱贫攻坚民主监督工作，围绕脱贫攻坚可持续发展、教育扶贫、问题落实整改等方面开展监督。利用民革江西省企业家联谊会景德镇分会的资源优势，发挥民革经济领域人才和资源优势，从乡村旅游、特色农业、农产品产销等领域入手，积极参与支持产业扶贫。</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强化社会服务品牌建设。联合浙江商会、晨阳志愿者协会、益启行动志愿者协会举办“行善有道.善行天下”爱心慈善联欢会，开展“关爱老兵”慈善活动，共募集善款4万余万元。全市各级组织持续推进“博爱牵手活动”开展，共开展法律援助、法律咨询、义诊、关爱留守儿童、留守老人等活动10余次，受益群众200余人次。</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三、拓宽赣台交流渠道，稳步推进祖统工作。引导全市民革党员密切关注两岸热点问题。开展了走访龙艺、宝哥、台达等台资企业、联系台商工作，拓宽台湾同胞意见表达、思想转化的渠道。参加中共景德镇市委统战部举办的全市港澳台统战工作研讨会，发挥桥梁纽带作用，团结广大港澳台同胞回报桑梓、为国服务。</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四、其它工作</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1，以思想政治建设为统领，夯实共同思想政治基础。深入开展“不忘合作初心，继续携手前进”主题教育活动。开展形式多样、内容丰富的系列庆祝活动。做好宣传阵地线上线下建设。</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2、“五型三化”机关建设取得新成效。市委会强化机关作风建设，规范机关内部管理，压实各项工作责任。</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（二）主要存在问题</w:t>
      </w:r>
      <w:bookmarkEnd w:id="0"/>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 xml:space="preserve">1、预算绩效目标设置有待改进的地方。部门整体支出绩效目标缺乏基础和依据，预算精确度待提高，缺乏分项预算金额。  </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2、思想政治建设还需提高。干部的服务意识需增强，机关工作效能还需提高。</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3、参政议政能力需提高，高质量的参政议政成果不多，社情民意信息工作还需深入。</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4、高层次人才发展及后备干部的培养还需加大，后备干部储备不足，基层组织的活力发挥不够。　</w:t>
      </w:r>
    </w:p>
    <w:p>
      <w:pPr>
        <w:ind w:firstLine="630"/>
        <w:jc w:val="left"/>
        <w:rPr>
          <w:rFonts w:hint="eastAsia" w:ascii="仿宋" w:hAnsi="仿宋" w:eastAsia="仿宋" w:cs="Times New Roman"/>
          <w:sz w:val="30"/>
          <w:szCs w:val="30"/>
          <w:lang w:val="en-US" w:eastAsia="zh-CN"/>
        </w:rPr>
      </w:pPr>
      <w:bookmarkStart w:id="1" w:name="_Toc26819_WPSOffice_Level2"/>
      <w:r>
        <w:rPr>
          <w:rFonts w:hint="eastAsia" w:ascii="仿宋" w:hAnsi="仿宋" w:eastAsia="仿宋" w:cs="Times New Roman"/>
          <w:sz w:val="30"/>
          <w:szCs w:val="30"/>
          <w:lang w:val="en-US" w:eastAsia="zh-CN"/>
        </w:rPr>
        <w:t>（三）整改措施</w:t>
      </w:r>
      <w:bookmarkEnd w:id="1"/>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1、提高对全面预算管理的重视程度。建立以绩效为导向的预算编制模式，借鉴其他部门在绩效管理方面的经验和做法，制定绩效管理制度，并将其贯彻到预算申请、预算分配、项目实施和绩效考评的全过程。</w:t>
      </w:r>
    </w:p>
    <w:p>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2、强化课题的调研，提高调研的深度和广度，顺应市民的关注，提升提案议案的质量。</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3、实施预算进度跟踪，合理支出预算资金，做到目标管理与执行进度跟踪统一，项目产出与效益管理的统一。</w:t>
      </w:r>
    </w:p>
    <w:p>
      <w:pPr>
        <w:ind w:firstLine="63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4、加强机关效能建设，注重教育培训工作，构建有效的激励机制，着力提高干部的专业素质。</w:t>
      </w:r>
    </w:p>
    <w:p>
      <w:pPr>
        <w:ind w:firstLine="630"/>
        <w:jc w:val="left"/>
        <w:rPr>
          <w:rFonts w:hint="default" w:ascii="仿宋" w:hAnsi="仿宋" w:eastAsia="仿宋" w:cs="Times New Roman"/>
          <w:sz w:val="30"/>
          <w:szCs w:val="30"/>
          <w:lang w:val="en-US" w:eastAsia="zh-CN"/>
        </w:rPr>
      </w:pPr>
      <w:r>
        <w:rPr>
          <w:rFonts w:hint="eastAsia" w:ascii="仿宋" w:hAnsi="仿宋" w:eastAsia="仿宋" w:cs="Times New Roman"/>
          <w:sz w:val="30"/>
          <w:szCs w:val="30"/>
          <w:lang w:val="en-US" w:eastAsia="zh-CN"/>
        </w:rPr>
        <w:t>5、注重基层组织建设，加强新社员的发展工作，完善规章制度，进一步激活基层组织的活力。</w:t>
      </w:r>
    </w:p>
    <w:p>
      <w:pPr>
        <w:ind w:firstLine="630"/>
        <w:jc w:val="left"/>
        <w:rPr>
          <w:rFonts w:hint="eastAsia" w:ascii="仿宋" w:hAnsi="仿宋" w:eastAsia="仿宋" w:cs="Times New Roman"/>
          <w:sz w:val="30"/>
          <w:szCs w:val="30"/>
          <w:lang w:eastAsia="zh-CN"/>
        </w:rPr>
      </w:pPr>
    </w:p>
    <w:p>
      <w:pPr>
        <w:ind w:firstLine="630"/>
        <w:jc w:val="left"/>
        <w:rPr>
          <w:rFonts w:hint="eastAsia" w:ascii="仿宋" w:hAnsi="仿宋" w:eastAsia="仿宋" w:cs="Times New Roman"/>
          <w:sz w:val="30"/>
          <w:szCs w:val="30"/>
          <w:lang w:eastAsia="zh-CN"/>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13EF6"/>
    <w:rsid w:val="2CA83B89"/>
    <w:rsid w:val="32C04EF8"/>
    <w:rsid w:val="352A495A"/>
    <w:rsid w:val="3CAC1C0E"/>
    <w:rsid w:val="4A2A7E5F"/>
    <w:rsid w:val="4BB02704"/>
    <w:rsid w:val="4F381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